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charts/chart4.xml" ContentType="application/vnd.openxmlformats-officedocument.drawingml.chart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0FAE" w:rsidRDefault="00560FAE" w:rsidP="00560FAE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TIP FAKÜLTESİ DEKANLIĞI</w:t>
      </w:r>
      <w:r>
        <w:rPr>
          <w:rFonts w:ascii="Times New Roman" w:hAnsi="Times New Roman" w:cs="Times New Roman"/>
          <w:b/>
          <w:bCs/>
          <w:sz w:val="32"/>
          <w:szCs w:val="32"/>
        </w:rPr>
        <w:br/>
        <w:t>Akademik Personel Memnuniyet Anketi</w:t>
      </w:r>
    </w:p>
    <w:p w:rsidR="00560FAE" w:rsidRDefault="009D3C42" w:rsidP="009D3C42">
      <w:pPr>
        <w:ind w:left="1276" w:right="992" w:hanging="127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</w:t>
      </w:r>
      <w:r w:rsidR="00560FAE">
        <w:rPr>
          <w:rFonts w:ascii="Times New Roman" w:hAnsi="Times New Roman" w:cs="Times New Roman"/>
        </w:rPr>
        <w:t xml:space="preserve">01.12.2022 İle 15.12.2022 tarihleri arasında OBS Proliz Sistemi üzerinden </w:t>
      </w:r>
      <w:r w:rsidR="00EE4AA1">
        <w:rPr>
          <w:rFonts w:ascii="Times New Roman" w:hAnsi="Times New Roman" w:cs="Times New Roman"/>
        </w:rPr>
        <w:t>Akademik</w:t>
      </w:r>
      <w:r w:rsidR="00560FAE">
        <w:rPr>
          <w:rFonts w:ascii="Times New Roman" w:hAnsi="Times New Roman" w:cs="Times New Roman"/>
        </w:rPr>
        <w:t xml:space="preserve"> personel Memnuniyet anketi uygulanmıştır. Toplamda 34 sorudan oluşan ankette, her soru için 5 ayrı cevap seçeneği bulunmaktadır. Anketi cevaplayan 88 kişinin soruların cevap şıklarından herhangi birini işaretlemesi zorunlu kılınmıştır. Bu sayede anketi cevaplayanların herhangi bir soruda boş cevap vermesi engellenmiştir yapılan anket sonucu </w:t>
      </w:r>
      <w:r w:rsidR="00560FAE">
        <w:rPr>
          <w:rFonts w:ascii="Times New Roman" w:hAnsi="Times New Roman" w:cs="Times New Roman"/>
          <w:b/>
        </w:rPr>
        <w:t xml:space="preserve">genel memnuniyet oranı  </w:t>
      </w:r>
      <w:r w:rsidR="00560FAE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  <w:t>%</w:t>
      </w:r>
      <w:r w:rsidR="00560FAE">
        <w:rPr>
          <w:rFonts w:ascii="Times New Roman" w:hAnsi="Times New Roman" w:cs="Times New Roman"/>
          <w:b/>
        </w:rPr>
        <w:t>69 olduğu görülmüştür.</w:t>
      </w:r>
    </w:p>
    <w:p w:rsidR="00A2699E" w:rsidRDefault="003B7212" w:rsidP="009D3C42">
      <w:pPr>
        <w:ind w:left="1276" w:right="992"/>
      </w:pPr>
      <w:r w:rsidRPr="003B7212">
        <w:rPr>
          <w:noProof/>
        </w:rPr>
        <w:drawing>
          <wp:inline distT="0" distB="0" distL="0" distR="0">
            <wp:extent cx="5760720" cy="1762125"/>
            <wp:effectExtent l="19050" t="0" r="11430" b="0"/>
            <wp:docPr id="1" name="Grafik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  <w:r w:rsidR="009D3C42">
        <w:t xml:space="preserve">      </w:t>
      </w:r>
      <w:r>
        <w:tab/>
      </w:r>
    </w:p>
    <w:p w:rsidR="00A2699E" w:rsidRDefault="00A2699E" w:rsidP="009D3C42">
      <w:pPr>
        <w:ind w:left="1276" w:right="992"/>
      </w:pPr>
    </w:p>
    <w:p w:rsidR="003B7212" w:rsidRDefault="003B7212" w:rsidP="009D3C42">
      <w:pPr>
        <w:ind w:left="1276" w:right="992"/>
      </w:pPr>
      <w:r w:rsidRPr="003B7212">
        <w:rPr>
          <w:noProof/>
        </w:rPr>
        <w:drawing>
          <wp:inline distT="0" distB="0" distL="0" distR="0">
            <wp:extent cx="5760720" cy="1828800"/>
            <wp:effectExtent l="19050" t="0" r="11430" b="0"/>
            <wp:docPr id="2" name="Grafik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  <w:r w:rsidR="00A2699E">
        <w:t xml:space="preserve">                       </w:t>
      </w:r>
    </w:p>
    <w:p w:rsidR="00A2699E" w:rsidRDefault="00A2699E" w:rsidP="009D3C42">
      <w:pPr>
        <w:ind w:left="1276" w:right="992"/>
      </w:pPr>
    </w:p>
    <w:p w:rsidR="002949D1" w:rsidRDefault="003B7212" w:rsidP="003B7212">
      <w:pPr>
        <w:jc w:val="center"/>
      </w:pPr>
      <w:r w:rsidRPr="003B7212">
        <w:rPr>
          <w:noProof/>
        </w:rPr>
        <w:drawing>
          <wp:inline distT="0" distB="0" distL="0" distR="0">
            <wp:extent cx="5760720" cy="2495550"/>
            <wp:effectExtent l="19050" t="0" r="11430" b="0"/>
            <wp:docPr id="3" name="Grafik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3B7212" w:rsidRPr="003B7212" w:rsidRDefault="003B7212" w:rsidP="003B7212">
      <w:pPr>
        <w:ind w:left="-993" w:right="-1134"/>
        <w:jc w:val="center"/>
      </w:pPr>
      <w:r w:rsidRPr="003B7212">
        <w:rPr>
          <w:noProof/>
        </w:rPr>
        <w:lastRenderedPageBreak/>
        <w:drawing>
          <wp:inline distT="0" distB="0" distL="0" distR="0">
            <wp:extent cx="7008495" cy="9525000"/>
            <wp:effectExtent l="19050" t="0" r="20955" b="0"/>
            <wp:docPr id="4" name="Grafik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sectPr w:rsidR="003B7212" w:rsidRPr="003B7212" w:rsidSect="003B7212">
      <w:pgSz w:w="11906" w:h="16838"/>
      <w:pgMar w:top="426" w:right="140" w:bottom="1417" w:left="142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61DE8" w:rsidRDefault="00661DE8" w:rsidP="003B7212">
      <w:pPr>
        <w:spacing w:after="0" w:line="240" w:lineRule="auto"/>
      </w:pPr>
      <w:r>
        <w:separator/>
      </w:r>
    </w:p>
  </w:endnote>
  <w:endnote w:type="continuationSeparator" w:id="1">
    <w:p w:rsidR="00661DE8" w:rsidRDefault="00661DE8" w:rsidP="003B72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61DE8" w:rsidRDefault="00661DE8" w:rsidP="003B7212">
      <w:pPr>
        <w:spacing w:after="0" w:line="240" w:lineRule="auto"/>
      </w:pPr>
      <w:r>
        <w:separator/>
      </w:r>
    </w:p>
  </w:footnote>
  <w:footnote w:type="continuationSeparator" w:id="1">
    <w:p w:rsidR="00661DE8" w:rsidRDefault="00661DE8" w:rsidP="003B721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560FAE"/>
    <w:rsid w:val="002949D1"/>
    <w:rsid w:val="003B7212"/>
    <w:rsid w:val="003E2C7F"/>
    <w:rsid w:val="00560FAE"/>
    <w:rsid w:val="00661DE8"/>
    <w:rsid w:val="007722DE"/>
    <w:rsid w:val="009D3C42"/>
    <w:rsid w:val="00A2699E"/>
    <w:rsid w:val="00D822D1"/>
    <w:rsid w:val="00EA2A1B"/>
    <w:rsid w:val="00EE4A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49D1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3B72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B7212"/>
    <w:rPr>
      <w:rFonts w:ascii="Tahoma" w:hAnsi="Tahoma" w:cs="Tahoma"/>
      <w:sz w:val="16"/>
      <w:szCs w:val="16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3B7212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stbilgi">
    <w:name w:val="header"/>
    <w:basedOn w:val="Normal"/>
    <w:link w:val="stbilgiChar"/>
    <w:uiPriority w:val="99"/>
    <w:semiHidden/>
    <w:unhideWhenUsed/>
    <w:rsid w:val="003B72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semiHidden/>
    <w:rsid w:val="003B7212"/>
  </w:style>
  <w:style w:type="paragraph" w:styleId="Altbilgi">
    <w:name w:val="footer"/>
    <w:basedOn w:val="Normal"/>
    <w:link w:val="AltbilgiChar"/>
    <w:uiPriority w:val="99"/>
    <w:semiHidden/>
    <w:unhideWhenUsed/>
    <w:rsid w:val="003B72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semiHidden/>
    <w:rsid w:val="003B721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81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3.xml"/><Relationship Id="rId3" Type="http://schemas.openxmlformats.org/officeDocument/2006/relationships/webSettings" Target="webSettings.xml"/><Relationship Id="rId7" Type="http://schemas.openxmlformats.org/officeDocument/2006/relationships/chart" Target="charts/chart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chart" Target="charts/chart4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bd\Desktop\t&#305;p%20fak&#252;ltesi%20akademik%20personel%20memnuniyet%20anketi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bd\Desktop\t&#305;p%20fak&#252;ltesi%20akademik%20personel%20memnuniyet%20anketi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bd\Desktop\t&#305;p%20fak&#252;ltesi%20akademik%20personel%20memnuniyet%20anketi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bd\Desktop\t&#305;p%20fak&#252;ltesi%20akademik%20personel%20memnuniyet%20anketi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tr-TR"/>
  <c:chart>
    <c:plotArea>
      <c:layout>
        <c:manualLayout>
          <c:layoutTarget val="inner"/>
          <c:xMode val="edge"/>
          <c:yMode val="edge"/>
          <c:x val="0.39790370032461408"/>
          <c:y val="0.33663755287532926"/>
          <c:w val="0.54854022557525139"/>
          <c:h val="0.40064343214295084"/>
        </c:manualLayout>
      </c:layout>
      <c:barChart>
        <c:barDir val="bar"/>
        <c:grouping val="stacked"/>
        <c:ser>
          <c:idx val="0"/>
          <c:order val="0"/>
          <c:spPr>
            <a:solidFill>
              <a:schemeClr val="accent2">
                <a:lumMod val="75000"/>
              </a:schemeClr>
            </a:solidFill>
          </c:spPr>
          <c:dLbls>
            <c:txPr>
              <a:bodyPr/>
              <a:lstStyle/>
              <a:p>
                <a:pPr>
                  <a:defRPr sz="1200" b="1"/>
                </a:pPr>
                <a:endParaRPr lang="tr-TR"/>
              </a:p>
            </c:txPr>
            <c:showVal val="1"/>
          </c:dLbls>
          <c:cat>
            <c:strRef>
              <c:f>'Page 1'!$Y$2:$Y$3</c:f>
              <c:strCache>
                <c:ptCount val="2"/>
                <c:pt idx="0">
                  <c:v>Genel Memnuniyet Oranı</c:v>
                </c:pt>
                <c:pt idx="1">
                  <c:v>Katılım Sayısı : 88</c:v>
                </c:pt>
              </c:strCache>
            </c:strRef>
          </c:cat>
          <c:val>
            <c:numRef>
              <c:f>'Page 1'!$Z$2:$Z$3</c:f>
              <c:numCache>
                <c:formatCode>General</c:formatCode>
                <c:ptCount val="2"/>
                <c:pt idx="0" formatCode="0%">
                  <c:v>0.68661368472787954</c:v>
                </c:pt>
              </c:numCache>
            </c:numRef>
          </c:val>
        </c:ser>
        <c:overlap val="100"/>
        <c:axId val="127118720"/>
        <c:axId val="110355584"/>
      </c:barChart>
      <c:catAx>
        <c:axId val="127118720"/>
        <c:scaling>
          <c:orientation val="minMax"/>
        </c:scaling>
        <c:axPos val="l"/>
        <c:tickLblPos val="nextTo"/>
        <c:txPr>
          <a:bodyPr/>
          <a:lstStyle/>
          <a:p>
            <a:pPr>
              <a:defRPr sz="1100" b="1"/>
            </a:pPr>
            <a:endParaRPr lang="tr-TR"/>
          </a:p>
        </c:txPr>
        <c:crossAx val="110355584"/>
        <c:crosses val="autoZero"/>
        <c:auto val="1"/>
        <c:lblAlgn val="ctr"/>
        <c:lblOffset val="100"/>
      </c:catAx>
      <c:valAx>
        <c:axId val="110355584"/>
        <c:scaling>
          <c:orientation val="minMax"/>
        </c:scaling>
        <c:axPos val="b"/>
        <c:majorGridlines/>
        <c:numFmt formatCode="0%" sourceLinked="1"/>
        <c:tickLblPos val="nextTo"/>
        <c:crossAx val="127118720"/>
        <c:crosses val="autoZero"/>
        <c:crossBetween val="between"/>
      </c:valAx>
      <c:spPr>
        <a:solidFill>
          <a:schemeClr val="accent1">
            <a:lumMod val="40000"/>
            <a:lumOff val="60000"/>
          </a:schemeClr>
        </a:solidFill>
      </c:spPr>
    </c:plotArea>
    <c:legend>
      <c:legendPos val="r"/>
      <c:layout>
        <c:manualLayout>
          <c:xMode val="edge"/>
          <c:yMode val="edge"/>
          <c:x val="0.84663480037287675"/>
          <c:y val="0.11725963480901633"/>
          <c:w val="0.13321406612586548"/>
          <c:h val="0.17531654202338195"/>
        </c:manualLayout>
      </c:layout>
    </c:legend>
    <c:plotVisOnly val="1"/>
  </c:chart>
  <c:spPr>
    <a:solidFill>
      <a:schemeClr val="bg1">
        <a:lumMod val="85000"/>
      </a:schemeClr>
    </a:solidFill>
  </c:sp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tr-TR"/>
  <c:chart>
    <c:plotArea>
      <c:layout>
        <c:manualLayout>
          <c:layoutTarget val="inner"/>
          <c:xMode val="edge"/>
          <c:yMode val="edge"/>
          <c:x val="0.14469685039370078"/>
          <c:y val="0.22756054546809409"/>
          <c:w val="0.69790179352581061"/>
          <c:h val="0.39728060806279403"/>
        </c:manualLayout>
      </c:layout>
      <c:barChart>
        <c:barDir val="col"/>
        <c:grouping val="stacked"/>
        <c:ser>
          <c:idx val="1"/>
          <c:order val="0"/>
          <c:spPr>
            <a:solidFill>
              <a:schemeClr val="accent2">
                <a:lumMod val="75000"/>
              </a:schemeClr>
            </a:solidFill>
          </c:spPr>
          <c:dLbls>
            <c:dLbl>
              <c:idx val="0"/>
              <c:layout>
                <c:manualLayout>
                  <c:x val="0"/>
                  <c:y val="-6.4814814814814936E-2"/>
                </c:manualLayout>
              </c:layout>
              <c:dLblPos val="inBase"/>
              <c:showVal val="1"/>
            </c:dLbl>
            <c:dLbl>
              <c:idx val="1"/>
              <c:layout>
                <c:manualLayout>
                  <c:x val="0"/>
                  <c:y val="-0.30086754928504683"/>
                </c:manualLayout>
              </c:layout>
              <c:dLblPos val="inBase"/>
              <c:showVal val="1"/>
            </c:dLbl>
            <c:dLbl>
              <c:idx val="2"/>
              <c:layout>
                <c:manualLayout>
                  <c:x val="-7.4103378892873481E-3"/>
                  <c:y val="-0.16480226884391128"/>
                </c:manualLayout>
              </c:layout>
              <c:dLblPos val="inBase"/>
              <c:showVal val="1"/>
            </c:dLbl>
            <c:dLbl>
              <c:idx val="3"/>
              <c:layout>
                <c:manualLayout>
                  <c:x val="0"/>
                  <c:y val="-3.2407407407407468E-2"/>
                </c:manualLayout>
              </c:layout>
              <c:dLblPos val="inBase"/>
              <c:showVal val="1"/>
            </c:dLbl>
            <c:dLbl>
              <c:idx val="4"/>
              <c:layout>
                <c:manualLayout>
                  <c:x val="0"/>
                  <c:y val="-2.3148148148148147E-2"/>
                </c:manualLayout>
              </c:layout>
              <c:dLblPos val="inBase"/>
              <c:showVal val="1"/>
            </c:dLbl>
            <c:txPr>
              <a:bodyPr/>
              <a:lstStyle/>
              <a:p>
                <a:pPr>
                  <a:defRPr sz="1050" b="1"/>
                </a:pPr>
                <a:endParaRPr lang="tr-TR"/>
              </a:p>
            </c:txPr>
            <c:dLblPos val="inBase"/>
            <c:showVal val="1"/>
          </c:dLbls>
          <c:cat>
            <c:strRef>
              <c:f>'Page 1'!$Y$6:$Y$10</c:f>
              <c:strCache>
                <c:ptCount val="5"/>
                <c:pt idx="0">
                  <c:v>Çok Memnunum</c:v>
                </c:pt>
                <c:pt idx="1">
                  <c:v>Memnunum</c:v>
                </c:pt>
                <c:pt idx="2">
                  <c:v>Kısmen Memnunum</c:v>
                </c:pt>
                <c:pt idx="3">
                  <c:v>Memnun Değilim</c:v>
                </c:pt>
                <c:pt idx="4">
                  <c:v>Hiç Memnun Değilim</c:v>
                </c:pt>
              </c:strCache>
            </c:strRef>
          </c:cat>
          <c:val>
            <c:numRef>
              <c:f>'Page 1'!$AA$6:$AA$10</c:f>
              <c:numCache>
                <c:formatCode>_-* #,##0.00\ _₺_-;\-* #,##0.00\ _₺_-;_-* "-"??\ _₺_-;_-@_-</c:formatCode>
                <c:ptCount val="5"/>
                <c:pt idx="0">
                  <c:v>14.9</c:v>
                </c:pt>
                <c:pt idx="1">
                  <c:v>50.690000000000012</c:v>
                </c:pt>
                <c:pt idx="2">
                  <c:v>27</c:v>
                </c:pt>
                <c:pt idx="3">
                  <c:v>5.87</c:v>
                </c:pt>
                <c:pt idx="4">
                  <c:v>1.53</c:v>
                </c:pt>
              </c:numCache>
            </c:numRef>
          </c:val>
        </c:ser>
        <c:overlap val="100"/>
        <c:axId val="110916352"/>
        <c:axId val="110917888"/>
      </c:barChart>
      <c:catAx>
        <c:axId val="110916352"/>
        <c:scaling>
          <c:orientation val="minMax"/>
        </c:scaling>
        <c:axPos val="b"/>
        <c:minorGridlines/>
        <c:tickLblPos val="nextTo"/>
        <c:txPr>
          <a:bodyPr/>
          <a:lstStyle/>
          <a:p>
            <a:pPr>
              <a:defRPr sz="1050" baseline="0"/>
            </a:pPr>
            <a:endParaRPr lang="tr-TR"/>
          </a:p>
        </c:txPr>
        <c:crossAx val="110917888"/>
        <c:crosses val="autoZero"/>
        <c:lblAlgn val="ctr"/>
        <c:lblOffset val="100"/>
      </c:catAx>
      <c:valAx>
        <c:axId val="110917888"/>
        <c:scaling>
          <c:orientation val="minMax"/>
        </c:scaling>
        <c:axPos val="l"/>
        <c:majorGridlines/>
        <c:numFmt formatCode="_-* #,##0.00\ _₺_-;\-* #,##0.00\ _₺_-;_-* &quot;-&quot;??\ _₺_-;_-@_-" sourceLinked="1"/>
        <c:tickLblPos val="nextTo"/>
        <c:crossAx val="110916352"/>
        <c:crosses val="autoZero"/>
        <c:crossBetween val="between"/>
      </c:valAx>
      <c:spPr>
        <a:solidFill>
          <a:schemeClr val="tx2">
            <a:lumMod val="20000"/>
            <a:lumOff val="80000"/>
          </a:schemeClr>
        </a:solidFill>
      </c:spPr>
    </c:plotArea>
    <c:legend>
      <c:legendPos val="r"/>
      <c:layout>
        <c:manualLayout>
          <c:xMode val="edge"/>
          <c:yMode val="edge"/>
          <c:x val="0.85946604988983089"/>
          <c:y val="0.44470032988995656"/>
          <c:w val="9.3449947969986957E-2"/>
          <c:h val="0.11059885862890992"/>
        </c:manualLayout>
      </c:layout>
    </c:legend>
    <c:plotVisOnly val="1"/>
  </c:chart>
  <c:spPr>
    <a:solidFill>
      <a:schemeClr val="bg1">
        <a:lumMod val="85000"/>
      </a:schemeClr>
    </a:solidFill>
  </c:spPr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tr-TR"/>
  <c:style val="4"/>
  <c:chart>
    <c:title/>
    <c:plotArea>
      <c:layout>
        <c:manualLayout>
          <c:layoutTarget val="inner"/>
          <c:xMode val="edge"/>
          <c:yMode val="edge"/>
          <c:x val="1.4915254237288143E-2"/>
          <c:y val="0.19240181885190891"/>
          <c:w val="0.97016949152542442"/>
          <c:h val="0.47356176695678981"/>
        </c:manualLayout>
      </c:layout>
      <c:lineChart>
        <c:grouping val="standard"/>
        <c:ser>
          <c:idx val="0"/>
          <c:order val="0"/>
          <c:tx>
            <c:strRef>
              <c:f>'Page 1'!$BA$2</c:f>
              <c:strCache>
                <c:ptCount val="1"/>
                <c:pt idx="0">
                  <c:v>Soru Bazlı Memnuniyet Oranı </c:v>
                </c:pt>
              </c:strCache>
            </c:strRef>
          </c:tx>
          <c:marker>
            <c:symbol val="none"/>
          </c:marker>
          <c:dLbls>
            <c:showVal val="1"/>
          </c:dLbls>
          <c:cat>
            <c:strRef>
              <c:f>'Page 1'!$AZ$3:$AZ$36</c:f>
              <c:strCache>
                <c:ptCount val="34"/>
                <c:pt idx="0">
                  <c:v>Soru 1</c:v>
                </c:pt>
                <c:pt idx="1">
                  <c:v>Soru 2</c:v>
                </c:pt>
                <c:pt idx="2">
                  <c:v>Soru 3</c:v>
                </c:pt>
                <c:pt idx="3">
                  <c:v>Soru 4</c:v>
                </c:pt>
                <c:pt idx="4">
                  <c:v>Soru 5</c:v>
                </c:pt>
                <c:pt idx="5">
                  <c:v>Soru 6</c:v>
                </c:pt>
                <c:pt idx="6">
                  <c:v>Soru 7</c:v>
                </c:pt>
                <c:pt idx="7">
                  <c:v>Soru 8</c:v>
                </c:pt>
                <c:pt idx="8">
                  <c:v>Soru 9</c:v>
                </c:pt>
                <c:pt idx="9">
                  <c:v>Soru 10</c:v>
                </c:pt>
                <c:pt idx="10">
                  <c:v>Soru 11</c:v>
                </c:pt>
                <c:pt idx="11">
                  <c:v>Soru 12</c:v>
                </c:pt>
                <c:pt idx="12">
                  <c:v>Soru 13</c:v>
                </c:pt>
                <c:pt idx="13">
                  <c:v>Soru 14</c:v>
                </c:pt>
                <c:pt idx="14">
                  <c:v>Soru 15</c:v>
                </c:pt>
                <c:pt idx="15">
                  <c:v>Soru 16</c:v>
                </c:pt>
                <c:pt idx="16">
                  <c:v>Soru 17</c:v>
                </c:pt>
                <c:pt idx="17">
                  <c:v>Soru 18</c:v>
                </c:pt>
                <c:pt idx="18">
                  <c:v>Soru 19</c:v>
                </c:pt>
                <c:pt idx="19">
                  <c:v>Soru 20</c:v>
                </c:pt>
                <c:pt idx="20">
                  <c:v>Soru 21</c:v>
                </c:pt>
                <c:pt idx="21">
                  <c:v>Soru 22</c:v>
                </c:pt>
                <c:pt idx="22">
                  <c:v>Soru 23</c:v>
                </c:pt>
                <c:pt idx="23">
                  <c:v>Soru 24</c:v>
                </c:pt>
                <c:pt idx="24">
                  <c:v>Soru 25</c:v>
                </c:pt>
                <c:pt idx="25">
                  <c:v>Soru 26</c:v>
                </c:pt>
                <c:pt idx="26">
                  <c:v>Soru 27</c:v>
                </c:pt>
                <c:pt idx="27">
                  <c:v>Soru 28</c:v>
                </c:pt>
                <c:pt idx="28">
                  <c:v>Soru 29</c:v>
                </c:pt>
                <c:pt idx="29">
                  <c:v>Soru 30</c:v>
                </c:pt>
                <c:pt idx="30">
                  <c:v>Soru 31</c:v>
                </c:pt>
                <c:pt idx="31">
                  <c:v>Soru 32</c:v>
                </c:pt>
                <c:pt idx="32">
                  <c:v>Soru 33</c:v>
                </c:pt>
                <c:pt idx="33">
                  <c:v>Soru 34</c:v>
                </c:pt>
              </c:strCache>
            </c:strRef>
          </c:cat>
          <c:val>
            <c:numRef>
              <c:f>'Page 1'!$BA$3:$BA$36</c:f>
              <c:numCache>
                <c:formatCode>General</c:formatCode>
                <c:ptCount val="34"/>
                <c:pt idx="0">
                  <c:v>68</c:v>
                </c:pt>
                <c:pt idx="1">
                  <c:v>71</c:v>
                </c:pt>
                <c:pt idx="2">
                  <c:v>67</c:v>
                </c:pt>
                <c:pt idx="3">
                  <c:v>71</c:v>
                </c:pt>
                <c:pt idx="4">
                  <c:v>71</c:v>
                </c:pt>
                <c:pt idx="5">
                  <c:v>70</c:v>
                </c:pt>
                <c:pt idx="6">
                  <c:v>67</c:v>
                </c:pt>
                <c:pt idx="7">
                  <c:v>67</c:v>
                </c:pt>
                <c:pt idx="8">
                  <c:v>66</c:v>
                </c:pt>
                <c:pt idx="9">
                  <c:v>63</c:v>
                </c:pt>
                <c:pt idx="10">
                  <c:v>75</c:v>
                </c:pt>
                <c:pt idx="11">
                  <c:v>56</c:v>
                </c:pt>
                <c:pt idx="12">
                  <c:v>55</c:v>
                </c:pt>
                <c:pt idx="13">
                  <c:v>73</c:v>
                </c:pt>
                <c:pt idx="14">
                  <c:v>73</c:v>
                </c:pt>
                <c:pt idx="15">
                  <c:v>70</c:v>
                </c:pt>
                <c:pt idx="16">
                  <c:v>71</c:v>
                </c:pt>
                <c:pt idx="17">
                  <c:v>70</c:v>
                </c:pt>
                <c:pt idx="18">
                  <c:v>65</c:v>
                </c:pt>
                <c:pt idx="19">
                  <c:v>64</c:v>
                </c:pt>
                <c:pt idx="20">
                  <c:v>69</c:v>
                </c:pt>
                <c:pt idx="21">
                  <c:v>67</c:v>
                </c:pt>
                <c:pt idx="22">
                  <c:v>72</c:v>
                </c:pt>
                <c:pt idx="23">
                  <c:v>66</c:v>
                </c:pt>
                <c:pt idx="24">
                  <c:v>76</c:v>
                </c:pt>
                <c:pt idx="25">
                  <c:v>70</c:v>
                </c:pt>
                <c:pt idx="26">
                  <c:v>65</c:v>
                </c:pt>
                <c:pt idx="27">
                  <c:v>67</c:v>
                </c:pt>
                <c:pt idx="28">
                  <c:v>68</c:v>
                </c:pt>
                <c:pt idx="29">
                  <c:v>69</c:v>
                </c:pt>
                <c:pt idx="30">
                  <c:v>73</c:v>
                </c:pt>
                <c:pt idx="31">
                  <c:v>75</c:v>
                </c:pt>
                <c:pt idx="32">
                  <c:v>74</c:v>
                </c:pt>
                <c:pt idx="33">
                  <c:v>72</c:v>
                </c:pt>
              </c:numCache>
            </c:numRef>
          </c:val>
        </c:ser>
        <c:dLbls>
          <c:showVal val="1"/>
        </c:dLbls>
        <c:marker val="1"/>
        <c:axId val="110990080"/>
        <c:axId val="110991616"/>
      </c:lineChart>
      <c:catAx>
        <c:axId val="110990080"/>
        <c:scaling>
          <c:orientation val="minMax"/>
        </c:scaling>
        <c:axPos val="b"/>
        <c:majorTickMark val="none"/>
        <c:tickLblPos val="nextTo"/>
        <c:crossAx val="110991616"/>
        <c:crosses val="autoZero"/>
        <c:auto val="1"/>
        <c:lblAlgn val="ctr"/>
        <c:lblOffset val="100"/>
      </c:catAx>
      <c:valAx>
        <c:axId val="110991616"/>
        <c:scaling>
          <c:orientation val="minMax"/>
        </c:scaling>
        <c:delete val="1"/>
        <c:axPos val="l"/>
        <c:numFmt formatCode="General" sourceLinked="1"/>
        <c:tickLblPos val="nextTo"/>
        <c:crossAx val="110990080"/>
        <c:crosses val="autoZero"/>
        <c:crossBetween val="between"/>
      </c:valAx>
      <c:spPr>
        <a:solidFill>
          <a:schemeClr val="accent1">
            <a:lumMod val="60000"/>
            <a:lumOff val="40000"/>
          </a:schemeClr>
        </a:solidFill>
      </c:spPr>
    </c:plotArea>
    <c:plotVisOnly val="1"/>
  </c:chart>
  <c:spPr>
    <a:solidFill>
      <a:sysClr val="window" lastClr="FFFFFF">
        <a:lumMod val="85000"/>
      </a:sysClr>
    </a:solidFill>
  </c:spPr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tr-TR"/>
  <c:chart>
    <c:title>
      <c:layout>
        <c:manualLayout>
          <c:xMode val="edge"/>
          <c:yMode val="edge"/>
          <c:x val="8.6863727519246287E-2"/>
          <c:y val="0.24641406824146994"/>
        </c:manualLayout>
      </c:layout>
      <c:txPr>
        <a:bodyPr/>
        <a:lstStyle/>
        <a:p>
          <a:pPr>
            <a:defRPr sz="1800" b="1"/>
          </a:pPr>
          <a:endParaRPr lang="tr-TR"/>
        </a:p>
      </c:txPr>
    </c:title>
    <c:plotArea>
      <c:layout>
        <c:manualLayout>
          <c:layoutTarget val="inner"/>
          <c:xMode val="edge"/>
          <c:yMode val="edge"/>
          <c:x val="6.9273198301616275E-4"/>
          <c:y val="0.16956098169749625"/>
          <c:w val="0.52059500121880065"/>
          <c:h val="0.71630159157297013"/>
        </c:manualLayout>
      </c:layout>
      <c:pieChart>
        <c:varyColors val="1"/>
        <c:ser>
          <c:idx val="0"/>
          <c:order val="0"/>
          <c:tx>
            <c:strRef>
              <c:f>'Page 1'!$AE$2</c:f>
              <c:strCache>
                <c:ptCount val="1"/>
                <c:pt idx="0">
                  <c:v>Soru Bazlı Memnuniyet Oranı </c:v>
                </c:pt>
              </c:strCache>
            </c:strRef>
          </c:tx>
          <c:dLbls>
            <c:showVal val="1"/>
            <c:showLeaderLines val="1"/>
          </c:dLbls>
          <c:cat>
            <c:strRef>
              <c:f>'Page 1'!$AD$3:$AD$36</c:f>
              <c:strCache>
                <c:ptCount val="34"/>
                <c:pt idx="0">
                  <c:v>Soru 1 Üniversitenin akademik yükseltme ölçütlerinden</c:v>
                </c:pt>
                <c:pt idx="1">
                  <c:v>Soru 2 Fikirlerin rahatça ifade edilebilmesinden</c:v>
                </c:pt>
                <c:pt idx="2">
                  <c:v>Soru 3 İdari görevlendirmelerinin yetkinlikler çerçevesinde yapılıyor olmasından</c:v>
                </c:pt>
                <c:pt idx="3">
                  <c:v>Soru 4 İdari ve destek personelinin görev ve sorumluluklarını zamanında yerine getirmesinden</c:v>
                </c:pt>
                <c:pt idx="4">
                  <c:v>Soru 5 Kurum içi iletişimin yeteri düzeyde sağlanabiliyor olmasından</c:v>
                </c:pt>
                <c:pt idx="5">
                  <c:v>Soru 6 Birim yöneticilerinin, iş kalitesini arttırmaya yönelik çalışmalarından</c:v>
                </c:pt>
                <c:pt idx="6">
                  <c:v>Soru 7 Araştırma için gereken izinlerin alınma sürecinden</c:v>
                </c:pt>
                <c:pt idx="7">
                  <c:v>Soru 8 Araştırma laboratuvarlarının fiziksel koşullarından</c:v>
                </c:pt>
                <c:pt idx="8">
                  <c:v>Soru 9 Araştırma laboratuvarlarının yeterli sayıda bulunmasından</c:v>
                </c:pt>
                <c:pt idx="9">
                  <c:v>Soru 10 Araştırma laboratuvarlarında bulunan teknik personel sayısından</c:v>
                </c:pt>
                <c:pt idx="10">
                  <c:v>Soru 11 Bilgi kaynağının (e-kütüphane, kütüphane vb.) istenen düzeyde olmasından</c:v>
                </c:pt>
                <c:pt idx="11">
                  <c:v>Soru 12 Yurt içi sempozyum, kongre vb. katılım için sunulan bütçe desteğinden</c:v>
                </c:pt>
                <c:pt idx="12">
                  <c:v>Soru 13 Yurt dışı sempozyum, kongre vb. katılım için sunulan bütçe desteğinden</c:v>
                </c:pt>
                <c:pt idx="13">
                  <c:v>Soru 14 Abone olunan veri tabanlarının yeterliliğinden</c:v>
                </c:pt>
                <c:pt idx="14">
                  <c:v>Soru 15 Programınızdaki/Bölümünüzdeki seçmeli derslerin ihtiyaca cevap vermesinden</c:v>
                </c:pt>
                <c:pt idx="15">
                  <c:v>Soru 16 Biriminizin öğretim elemanlarının ders yükü dengesinden</c:v>
                </c:pt>
                <c:pt idx="16">
                  <c:v>Soru 17 Sürekli Eğitim Merkezi'nin (DÜSEM) sağladığı hizmetlerden</c:v>
                </c:pt>
                <c:pt idx="17">
                  <c:v>Soru 18 Dış İlişkiler Ofis biriminin sağladığı hizmetlerden</c:v>
                </c:pt>
                <c:pt idx="18">
                  <c:v>Soru 19 Eğitim-öğretim faaliyetleri ile ilgili sağlanan donanım, araç ve gereç desteğinden</c:v>
                </c:pt>
                <c:pt idx="19">
                  <c:v>Soru 20 Üniversitemizin ülkemiz ve dünya ölçeğindeki sıralamasından</c:v>
                </c:pt>
                <c:pt idx="20">
                  <c:v>Soru 21 Sağlık, Kültür ve Spor (SKS) biriminin sağladığı hizmetlerden</c:v>
                </c:pt>
                <c:pt idx="21">
                  <c:v>Soru 22 Ek ders, yolluk ve benzeri ödeme süreçlerinden</c:v>
                </c:pt>
                <c:pt idx="22">
                  <c:v>Soru 23 Bilgi İşlem Daire Başkanlığı hizmetlerinden</c:v>
                </c:pt>
                <c:pt idx="23">
                  <c:v>Soru 24 Hukuk destek hizmetlerinden</c:v>
                </c:pt>
                <c:pt idx="24">
                  <c:v>Soru 25 Öğrenci işleri hizmetlerinden</c:v>
                </c:pt>
                <c:pt idx="25">
                  <c:v>Soru 26 Güvenlik hizmetlerinden</c:v>
                </c:pt>
                <c:pt idx="26">
                  <c:v>Soru 27 Yemekhane hizmetlerinden</c:v>
                </c:pt>
                <c:pt idx="27">
                  <c:v>Soru 28 Kantin hizmetlerinden</c:v>
                </c:pt>
                <c:pt idx="28">
                  <c:v>Soru 29 Yapı İşleri Daire Başkanlığı hizmetlerinden</c:v>
                </c:pt>
                <c:pt idx="29">
                  <c:v>Soru 30 Kurum ve odaların ısıtma-soğutma açısından yeterli olma durumundan</c:v>
                </c:pt>
                <c:pt idx="30">
                  <c:v>Soru 31 Kurum ve odaların aydınlatma açısından yeterli olma durumundan</c:v>
                </c:pt>
                <c:pt idx="31">
                  <c:v>Soru 32 Kongre-toplantı salonlarının sayı ve fiziksel açıdan uygunluğundan</c:v>
                </c:pt>
                <c:pt idx="32">
                  <c:v>Soru 33 Kalite Komisyonu çalışmalarından</c:v>
                </c:pt>
                <c:pt idx="33">
                  <c:v>Soru 34 Kalite Geliştirme Koordinatörlüğü çalışmalarından</c:v>
                </c:pt>
              </c:strCache>
            </c:strRef>
          </c:cat>
          <c:val>
            <c:numRef>
              <c:f>'Page 1'!$AE$3:$AE$36</c:f>
              <c:numCache>
                <c:formatCode>General</c:formatCode>
                <c:ptCount val="34"/>
                <c:pt idx="0">
                  <c:v>68</c:v>
                </c:pt>
                <c:pt idx="1">
                  <c:v>71</c:v>
                </c:pt>
                <c:pt idx="2">
                  <c:v>67</c:v>
                </c:pt>
                <c:pt idx="3">
                  <c:v>71</c:v>
                </c:pt>
                <c:pt idx="4">
                  <c:v>71</c:v>
                </c:pt>
                <c:pt idx="5">
                  <c:v>70</c:v>
                </c:pt>
                <c:pt idx="6">
                  <c:v>67</c:v>
                </c:pt>
                <c:pt idx="7">
                  <c:v>67</c:v>
                </c:pt>
                <c:pt idx="8">
                  <c:v>66</c:v>
                </c:pt>
                <c:pt idx="9">
                  <c:v>63</c:v>
                </c:pt>
                <c:pt idx="10">
                  <c:v>75</c:v>
                </c:pt>
                <c:pt idx="11">
                  <c:v>56</c:v>
                </c:pt>
                <c:pt idx="12">
                  <c:v>55</c:v>
                </c:pt>
                <c:pt idx="13">
                  <c:v>73</c:v>
                </c:pt>
                <c:pt idx="14">
                  <c:v>73</c:v>
                </c:pt>
                <c:pt idx="15">
                  <c:v>70</c:v>
                </c:pt>
                <c:pt idx="16">
                  <c:v>71</c:v>
                </c:pt>
                <c:pt idx="17">
                  <c:v>70</c:v>
                </c:pt>
                <c:pt idx="18">
                  <c:v>65</c:v>
                </c:pt>
                <c:pt idx="19">
                  <c:v>64</c:v>
                </c:pt>
                <c:pt idx="20">
                  <c:v>69</c:v>
                </c:pt>
                <c:pt idx="21">
                  <c:v>67</c:v>
                </c:pt>
                <c:pt idx="22">
                  <c:v>72</c:v>
                </c:pt>
                <c:pt idx="23">
                  <c:v>66</c:v>
                </c:pt>
                <c:pt idx="24">
                  <c:v>76</c:v>
                </c:pt>
                <c:pt idx="25">
                  <c:v>70</c:v>
                </c:pt>
                <c:pt idx="26">
                  <c:v>65</c:v>
                </c:pt>
                <c:pt idx="27">
                  <c:v>67</c:v>
                </c:pt>
                <c:pt idx="28">
                  <c:v>68</c:v>
                </c:pt>
                <c:pt idx="29">
                  <c:v>69</c:v>
                </c:pt>
                <c:pt idx="30">
                  <c:v>73</c:v>
                </c:pt>
                <c:pt idx="31">
                  <c:v>75</c:v>
                </c:pt>
                <c:pt idx="32">
                  <c:v>74</c:v>
                </c:pt>
                <c:pt idx="33">
                  <c:v>72</c:v>
                </c:pt>
              </c:numCache>
            </c:numRef>
          </c:val>
        </c:ser>
        <c:firstSliceAng val="0"/>
      </c:pieChart>
    </c:plotArea>
    <c:legend>
      <c:legendPos val="r"/>
      <c:layout>
        <c:manualLayout>
          <c:xMode val="edge"/>
          <c:yMode val="edge"/>
          <c:x val="0.529860603277722"/>
          <c:y val="4.0979268895735853E-2"/>
          <c:w val="0.44589695186589834"/>
          <c:h val="0.93053658792650873"/>
        </c:manualLayout>
      </c:layout>
      <c:txPr>
        <a:bodyPr/>
        <a:lstStyle/>
        <a:p>
          <a:pPr>
            <a:defRPr sz="800"/>
          </a:pPr>
          <a:endParaRPr lang="tr-TR"/>
        </a:p>
      </c:txPr>
    </c:legend>
    <c:plotVisOnly val="1"/>
  </c:chart>
  <c:spPr>
    <a:solidFill>
      <a:schemeClr val="bg1">
        <a:lumMod val="75000"/>
      </a:schemeClr>
    </a:solidFill>
  </c:spPr>
  <c:externalData r:id="rId1"/>
</c:chartSpace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89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</dc:creator>
  <cp:keywords/>
  <dc:description/>
  <cp:lastModifiedBy>Abd</cp:lastModifiedBy>
  <cp:revision>9</cp:revision>
  <dcterms:created xsi:type="dcterms:W3CDTF">2022-12-14T11:45:00Z</dcterms:created>
  <dcterms:modified xsi:type="dcterms:W3CDTF">2022-12-14T12:11:00Z</dcterms:modified>
</cp:coreProperties>
</file>