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42" w:rsidRPr="009251D0" w:rsidRDefault="008050F0" w:rsidP="008672CC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</w:t>
      </w:r>
      <w:r w:rsidR="009251D0" w:rsidRPr="009251D0"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t>NLIĞI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0B6542" w:rsidRPr="009251D0">
        <w:rPr>
          <w:rFonts w:ascii="Times New Roman" w:hAnsi="Times New Roman" w:cs="Times New Roman"/>
          <w:b/>
          <w:bCs/>
          <w:sz w:val="32"/>
          <w:szCs w:val="32"/>
        </w:rPr>
        <w:t xml:space="preserve"> İdari Personel Memnuniyet Anketi</w:t>
      </w:r>
    </w:p>
    <w:p w:rsidR="00D71597" w:rsidRPr="009251D0" w:rsidRDefault="00576A3B" w:rsidP="00364B8D">
      <w:pPr>
        <w:jc w:val="both"/>
        <w:rPr>
          <w:rFonts w:ascii="Times New Roman" w:hAnsi="Times New Roman" w:cs="Times New Roman"/>
        </w:rPr>
      </w:pPr>
      <w:r w:rsidRPr="009251D0">
        <w:rPr>
          <w:rFonts w:ascii="Times New Roman" w:hAnsi="Times New Roman" w:cs="Times New Roman"/>
        </w:rPr>
        <w:t>01.12</w:t>
      </w:r>
      <w:r w:rsidR="00320165" w:rsidRPr="009251D0">
        <w:rPr>
          <w:rFonts w:ascii="Times New Roman" w:hAnsi="Times New Roman" w:cs="Times New Roman"/>
        </w:rPr>
        <w:t>.</w:t>
      </w:r>
      <w:r w:rsidR="000B6542" w:rsidRPr="009251D0">
        <w:rPr>
          <w:rFonts w:ascii="Times New Roman" w:hAnsi="Times New Roman" w:cs="Times New Roman"/>
        </w:rPr>
        <w:t xml:space="preserve">2022 İle </w:t>
      </w:r>
      <w:r w:rsidRPr="009251D0">
        <w:rPr>
          <w:rFonts w:ascii="Times New Roman" w:hAnsi="Times New Roman" w:cs="Times New Roman"/>
        </w:rPr>
        <w:t>15.12</w:t>
      </w:r>
      <w:r w:rsidR="000B6542" w:rsidRPr="009251D0">
        <w:rPr>
          <w:rFonts w:ascii="Times New Roman" w:hAnsi="Times New Roman" w:cs="Times New Roman"/>
        </w:rPr>
        <w:t>.2022 tarihleri arasında EBYS Sistemi üzerinden İdari personel Memnuniyet anketi uyg</w:t>
      </w:r>
      <w:r w:rsidR="006554F8" w:rsidRPr="009251D0">
        <w:rPr>
          <w:rFonts w:ascii="Times New Roman" w:hAnsi="Times New Roman" w:cs="Times New Roman"/>
        </w:rPr>
        <w:t xml:space="preserve">ulanmıştır. Toplamda 11 sorudan </w:t>
      </w:r>
      <w:r w:rsidR="000B6542" w:rsidRPr="009251D0">
        <w:rPr>
          <w:rFonts w:ascii="Times New Roman" w:hAnsi="Times New Roman" w:cs="Times New Roman"/>
        </w:rPr>
        <w:t xml:space="preserve">oluşan ankette, her soru için 5 ayrı cevap seçeneği bulunmaktadır. Anketi cevaplayan </w:t>
      </w:r>
      <w:r w:rsidR="00690775" w:rsidRPr="009251D0">
        <w:rPr>
          <w:rFonts w:ascii="Times New Roman" w:hAnsi="Times New Roman" w:cs="Times New Roman"/>
        </w:rPr>
        <w:t>15 kişinin soruların</w:t>
      </w:r>
      <w:r w:rsidR="000B6542" w:rsidRPr="009251D0">
        <w:rPr>
          <w:rFonts w:ascii="Times New Roman" w:hAnsi="Times New Roman" w:cs="Times New Roman"/>
        </w:rPr>
        <w:t xml:space="preserve"> cevap şıklarından herhangi birini işaretlemesi zorunlu kılınmıştır. Bu sayede anketi cevaplayanların herhangi bir soruda b</w:t>
      </w:r>
      <w:r w:rsidR="00364B8D" w:rsidRPr="009251D0">
        <w:rPr>
          <w:rFonts w:ascii="Times New Roman" w:hAnsi="Times New Roman" w:cs="Times New Roman"/>
        </w:rPr>
        <w:t xml:space="preserve">oş cevap vermesi engellenmiştir yapılan anket sonucu </w:t>
      </w:r>
      <w:r w:rsidR="00364B8D" w:rsidRPr="009251D0">
        <w:rPr>
          <w:rFonts w:ascii="Times New Roman" w:hAnsi="Times New Roman" w:cs="Times New Roman"/>
          <w:b/>
        </w:rPr>
        <w:t xml:space="preserve">genel memnuniyet oranı  </w:t>
      </w:r>
      <w:r w:rsidR="00364B8D"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B064E1">
        <w:rPr>
          <w:rFonts w:ascii="Times New Roman" w:hAnsi="Times New Roman" w:cs="Times New Roman"/>
          <w:b/>
        </w:rPr>
        <w:t>67</w:t>
      </w:r>
      <w:r w:rsidR="00364B8D" w:rsidRPr="009251D0">
        <w:rPr>
          <w:rFonts w:ascii="Times New Roman" w:hAnsi="Times New Roman" w:cs="Times New Roman"/>
          <w:b/>
        </w:rPr>
        <w:t xml:space="preserve"> olduğu görülmüştür.</w:t>
      </w:r>
    </w:p>
    <w:p w:rsidR="00BD0936" w:rsidRPr="009251D0" w:rsidRDefault="00BD0936" w:rsidP="00364B8D">
      <w:pPr>
        <w:jc w:val="both"/>
        <w:rPr>
          <w:rFonts w:ascii="Times New Roman" w:hAnsi="Times New Roman" w:cs="Times New Roman"/>
        </w:rPr>
      </w:pPr>
      <w:r w:rsidRPr="009251D0">
        <w:rPr>
          <w:rFonts w:ascii="Times New Roman" w:hAnsi="Times New Roman" w:cs="Times New Roman"/>
          <w:noProof/>
        </w:rPr>
        <w:drawing>
          <wp:inline distT="0" distB="0" distL="0" distR="0">
            <wp:extent cx="5760720" cy="1920036"/>
            <wp:effectExtent l="57150" t="0" r="49530" b="80214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F76CC" w:rsidRPr="009251D0" w:rsidRDefault="003C7D40" w:rsidP="003C7D40">
      <w:pPr>
        <w:rPr>
          <w:rFonts w:ascii="Times New Roman" w:hAnsi="Times New Roman" w:cs="Times New Roman"/>
        </w:rPr>
      </w:pPr>
      <w:r w:rsidRPr="009251D0">
        <w:rPr>
          <w:rFonts w:ascii="Times New Roman" w:hAnsi="Times New Roman" w:cs="Times New Roman"/>
          <w:noProof/>
        </w:rPr>
        <w:drawing>
          <wp:inline distT="0" distB="0" distL="0" distR="0">
            <wp:extent cx="5760720" cy="1924050"/>
            <wp:effectExtent l="0" t="0" r="0" b="0"/>
            <wp:docPr id="4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F76CC" w:rsidRPr="009251D0" w:rsidRDefault="00576A3B" w:rsidP="00D71597">
      <w:pPr>
        <w:tabs>
          <w:tab w:val="left" w:pos="915"/>
        </w:tabs>
        <w:rPr>
          <w:rFonts w:ascii="Times New Roman" w:hAnsi="Times New Roman" w:cs="Times New Roman"/>
        </w:rPr>
      </w:pPr>
      <w:r w:rsidRPr="009251D0">
        <w:rPr>
          <w:rFonts w:ascii="Times New Roman" w:hAnsi="Times New Roman" w:cs="Times New Roman"/>
          <w:noProof/>
        </w:rPr>
        <w:drawing>
          <wp:inline distT="0" distB="0" distL="0" distR="0">
            <wp:extent cx="5798820" cy="2705100"/>
            <wp:effectExtent l="0" t="0" r="0" b="0"/>
            <wp:docPr id="3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51D0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760720" cy="6372225"/>
            <wp:effectExtent l="0" t="0" r="0" b="0"/>
            <wp:docPr id="2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192C" w:rsidRPr="009251D0" w:rsidRDefault="0047192C" w:rsidP="00D71597">
      <w:pPr>
        <w:pStyle w:val="stbilgi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47192C" w:rsidRPr="009251D0" w:rsidSect="002B0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3D1" w:rsidRDefault="006803D1" w:rsidP="002B0518">
      <w:pPr>
        <w:spacing w:after="0" w:line="240" w:lineRule="auto"/>
      </w:pPr>
      <w:r>
        <w:separator/>
      </w:r>
    </w:p>
  </w:endnote>
  <w:endnote w:type="continuationSeparator" w:id="1">
    <w:p w:rsidR="006803D1" w:rsidRDefault="006803D1" w:rsidP="002B0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3D1" w:rsidRDefault="006803D1" w:rsidP="002B0518">
      <w:pPr>
        <w:spacing w:after="0" w:line="240" w:lineRule="auto"/>
      </w:pPr>
      <w:r>
        <w:separator/>
      </w:r>
    </w:p>
  </w:footnote>
  <w:footnote w:type="continuationSeparator" w:id="1">
    <w:p w:rsidR="006803D1" w:rsidRDefault="006803D1" w:rsidP="002B05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5E2A"/>
    <w:rsid w:val="000104BC"/>
    <w:rsid w:val="000210CF"/>
    <w:rsid w:val="00097ADD"/>
    <w:rsid w:val="000B6542"/>
    <w:rsid w:val="000F5E2A"/>
    <w:rsid w:val="000F6FD9"/>
    <w:rsid w:val="00110296"/>
    <w:rsid w:val="001F6424"/>
    <w:rsid w:val="002B0518"/>
    <w:rsid w:val="002B4433"/>
    <w:rsid w:val="002F76CC"/>
    <w:rsid w:val="00315CB4"/>
    <w:rsid w:val="00320165"/>
    <w:rsid w:val="00355A1A"/>
    <w:rsid w:val="00364B8D"/>
    <w:rsid w:val="00397C2E"/>
    <w:rsid w:val="003C7D40"/>
    <w:rsid w:val="003F7F53"/>
    <w:rsid w:val="00441D74"/>
    <w:rsid w:val="0047192C"/>
    <w:rsid w:val="004C48A4"/>
    <w:rsid w:val="004D0CF6"/>
    <w:rsid w:val="004D2709"/>
    <w:rsid w:val="004D3F35"/>
    <w:rsid w:val="00503B3F"/>
    <w:rsid w:val="0051115A"/>
    <w:rsid w:val="00576A3B"/>
    <w:rsid w:val="00594714"/>
    <w:rsid w:val="00596D36"/>
    <w:rsid w:val="005C246B"/>
    <w:rsid w:val="00636FAF"/>
    <w:rsid w:val="006554F8"/>
    <w:rsid w:val="00655CD9"/>
    <w:rsid w:val="00656145"/>
    <w:rsid w:val="00660425"/>
    <w:rsid w:val="00660FC9"/>
    <w:rsid w:val="006803D1"/>
    <w:rsid w:val="00690775"/>
    <w:rsid w:val="00705E7F"/>
    <w:rsid w:val="00707B10"/>
    <w:rsid w:val="00712340"/>
    <w:rsid w:val="00713102"/>
    <w:rsid w:val="007151E2"/>
    <w:rsid w:val="00740F17"/>
    <w:rsid w:val="00746E5B"/>
    <w:rsid w:val="00762B8C"/>
    <w:rsid w:val="0076558C"/>
    <w:rsid w:val="0078540E"/>
    <w:rsid w:val="007B10E7"/>
    <w:rsid w:val="007D0C3A"/>
    <w:rsid w:val="007D6025"/>
    <w:rsid w:val="008050F0"/>
    <w:rsid w:val="0081011C"/>
    <w:rsid w:val="00852CC4"/>
    <w:rsid w:val="00861E8E"/>
    <w:rsid w:val="00863F0F"/>
    <w:rsid w:val="008672CC"/>
    <w:rsid w:val="00874C2D"/>
    <w:rsid w:val="008A0083"/>
    <w:rsid w:val="008A6C49"/>
    <w:rsid w:val="009251D0"/>
    <w:rsid w:val="00942724"/>
    <w:rsid w:val="00A0044D"/>
    <w:rsid w:val="00A21FB7"/>
    <w:rsid w:val="00A473C9"/>
    <w:rsid w:val="00AA69EC"/>
    <w:rsid w:val="00AE01FA"/>
    <w:rsid w:val="00B064E1"/>
    <w:rsid w:val="00B33B13"/>
    <w:rsid w:val="00B37264"/>
    <w:rsid w:val="00B63BCA"/>
    <w:rsid w:val="00BC41E6"/>
    <w:rsid w:val="00BC6A72"/>
    <w:rsid w:val="00BD0936"/>
    <w:rsid w:val="00BF6CE1"/>
    <w:rsid w:val="00C110BC"/>
    <w:rsid w:val="00CF2390"/>
    <w:rsid w:val="00D11172"/>
    <w:rsid w:val="00D14766"/>
    <w:rsid w:val="00D4367A"/>
    <w:rsid w:val="00D63CD6"/>
    <w:rsid w:val="00D71597"/>
    <w:rsid w:val="00D835EF"/>
    <w:rsid w:val="00D8692A"/>
    <w:rsid w:val="00DC671E"/>
    <w:rsid w:val="00DD255E"/>
    <w:rsid w:val="00DF4312"/>
    <w:rsid w:val="00E65E59"/>
    <w:rsid w:val="00F60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3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3BC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69077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2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B0518"/>
  </w:style>
  <w:style w:type="paragraph" w:styleId="Altbilgi">
    <w:name w:val="footer"/>
    <w:basedOn w:val="Normal"/>
    <w:link w:val="AltbilgiChar"/>
    <w:uiPriority w:val="99"/>
    <w:semiHidden/>
    <w:unhideWhenUsed/>
    <w:rsid w:val="002B0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B0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Yeni%20Microsoft%20Office%20Excel%20&#199;al&#305;&#351;ma%20Sayfas&#305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Yeni%20Microsoft%20Office%20Excel%20&#199;al&#305;&#351;ma%20Sayfas&#305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Yeni%20Microsoft%20Office%20Excel%20&#199;al&#305;&#351;ma%20Sayfas&#305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Yeni%20Microsoft%20Office%20Excel%20&#199;al&#305;&#351;ma%20Sayfas&#30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Genel Memnuniyet Oranı : </a:t>
            </a:r>
            <a:r>
              <a:rPr lang="tr-TR">
                <a:latin typeface="Times New Roman" panose="02020603050405020304" pitchFamily="18" charset="0"/>
                <a:cs typeface="Times New Roman" panose="02020603050405020304" pitchFamily="18" charset="0"/>
              </a:rPr>
              <a:t>% </a:t>
            </a: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6</a:t>
            </a:r>
            <a:r>
              <a:rPr lang="tr-TR">
                <a:latin typeface="Times New Roman" panose="02020603050405020304" pitchFamily="18" charset="0"/>
                <a:cs typeface="Times New Roman" panose="02020603050405020304" pitchFamily="18" charset="0"/>
              </a:rPr>
              <a:t>7</a:t>
            </a: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2610628532544572"/>
          <c:y val="0.19841763383603297"/>
        </c:manualLayout>
      </c:layout>
    </c:title>
    <c:plotArea>
      <c:layout>
        <c:manualLayout>
          <c:layoutTarget val="inner"/>
          <c:xMode val="edge"/>
          <c:yMode val="edge"/>
          <c:x val="0.24004081237384592"/>
          <c:y val="0.46754966117905977"/>
          <c:w val="0.50049912510936057"/>
          <c:h val="0.31281311735551576"/>
        </c:manualLayout>
      </c:layout>
      <c:barChart>
        <c:barDir val="bar"/>
        <c:grouping val="stacked"/>
        <c:ser>
          <c:idx val="0"/>
          <c:order val="0"/>
          <c:tx>
            <c:strRef>
              <c:f>Sayfa1!$AE$3</c:f>
              <c:strCache>
                <c:ptCount val="1"/>
                <c:pt idx="0">
                  <c:v>Genel Memnuniyet Oranı : 66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effectLst>
              <a:outerShdw blurRad="50800" dist="50800" dir="5400000" algn="ctr" rotWithShape="0">
                <a:schemeClr val="tx1">
                  <a:lumMod val="65000"/>
                  <a:lumOff val="35000"/>
                </a:schemeClr>
              </a:outerShdw>
            </a:effectLst>
          </c:spPr>
          <c:invertIfNegative val="1"/>
          <c:dPt>
            <c:idx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2C3D-4E52-A861-09FCA6B336D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r>
                      <a:rPr lang="tr-TR"/>
                      <a:t>7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1"/>
              <c:showVal val="1"/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tr-TR"/>
              </a:p>
            </c:txPr>
            <c:dLblPos val="ctr"/>
            <c:showLegendKey val="1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Sayfa1!$AF$5</c:f>
              <c:numCache>
                <c:formatCode>0%</c:formatCode>
                <c:ptCount val="1"/>
                <c:pt idx="0">
                  <c:v>0.66478188478188616</c:v>
                </c:pt>
              </c:numCache>
            </c:numRef>
          </c:val>
          <c:extLst xmlns:c16r2="http://schemas.microsoft.com/office/drawing/2015/06/chart"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  <a:effectLst>
                    <a:outerShdw blurRad="50800" dist="50800" dir="5400000" algn="ctr" rotWithShape="0">
                      <a:schemeClr val="tx1">
                        <a:lumMod val="65000"/>
                        <a:lumOff val="35000"/>
                      </a:schemeClr>
                    </a:outerShdw>
                  </a:effectLst>
                </c14:spPr>
              </c14:invertSolidFillFmt>
            </c:ext>
            <c:ext xmlns:c16="http://schemas.microsoft.com/office/drawing/2014/chart" uri="{C3380CC4-5D6E-409C-BE32-E72D297353CC}">
              <c16:uniqueId val="{00000002-2C3D-4E52-A861-09FCA6B336D5}"/>
            </c:ext>
          </c:extLst>
        </c:ser>
        <c:gapWidth val="65"/>
        <c:overlap val="100"/>
        <c:axId val="100545664"/>
        <c:axId val="100547584"/>
      </c:barChart>
      <c:catAx>
        <c:axId val="100545664"/>
        <c:scaling>
          <c:orientation val="minMax"/>
        </c:scaling>
        <c:axPos val="l"/>
        <c:tickLblPos val="nextTo"/>
        <c:crossAx val="100547584"/>
        <c:crosses val="autoZero"/>
        <c:auto val="1"/>
        <c:lblAlgn val="ctr"/>
        <c:lblOffset val="100"/>
      </c:catAx>
      <c:valAx>
        <c:axId val="100547584"/>
        <c:scaling>
          <c:orientation val="minMax"/>
        </c:scaling>
        <c:axPos val="b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tr-TR"/>
          </a:p>
        </c:txPr>
        <c:crossAx val="100545664"/>
        <c:crosses val="autoZero"/>
        <c:crossBetween val="between"/>
      </c:valAx>
      <c:spPr>
        <a:solidFill>
          <a:schemeClr val="tx2">
            <a:lumMod val="20000"/>
            <a:lumOff val="80000"/>
          </a:schemeClr>
        </a:solidFill>
      </c:spPr>
    </c:plotArea>
    <c:plotVisOnly val="1"/>
    <c:dispBlanksAs val="gap"/>
  </c:chart>
  <c:spPr>
    <a:solidFill>
      <a:schemeClr val="bg1">
        <a:lumMod val="85000"/>
      </a:schemeClr>
    </a:solidFill>
    <a:effectLst>
      <a:outerShdw blurRad="50800" dist="50800" dir="5400000" algn="ctr" rotWithShape="0">
        <a:schemeClr val="bg1"/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5.6097501701176319E-2"/>
          <c:y val="0.19821054546399539"/>
          <c:w val="0.84570485752339053"/>
          <c:h val="0.5323974101168476"/>
        </c:manualLayout>
      </c:layout>
      <c:barChart>
        <c:barDir val="col"/>
        <c:grouping val="stacked"/>
        <c:ser>
          <c:idx val="0"/>
          <c:order val="0"/>
          <c:cat>
            <c:strRef>
              <c:f>Sayfa1!$AH$2:$AH$6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F3-439B-8471-2FA57022382A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</c:spPr>
          <c:dLbls>
            <c:dLbl>
              <c:idx val="0"/>
              <c:layout>
                <c:manualLayout>
                  <c:x val="-6.6137566137566134E-3"/>
                  <c:y val="-0.2132101556612358"/>
                </c:manualLayout>
              </c:layout>
              <c:dLblPos val="ctr"/>
              <c:showLegendKey val="1"/>
              <c:showVal val="1"/>
              <c:separator>.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AF3-439B-8471-2FA57022382A}"/>
                </c:ext>
              </c:extLst>
            </c:dLbl>
            <c:dLbl>
              <c:idx val="1"/>
              <c:layout>
                <c:manualLayout>
                  <c:x val="-1.3227513227513282E-2"/>
                  <c:y val="-9.2409240924092501E-2"/>
                </c:manualLayout>
              </c:layout>
              <c:dLblPos val="inEnd"/>
              <c:showLegendKey val="1"/>
              <c:showVal val="1"/>
              <c:separator>.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AF3-439B-8471-2FA57022382A}"/>
                </c:ext>
              </c:extLst>
            </c:dLbl>
            <c:dLbl>
              <c:idx val="2"/>
              <c:layout>
                <c:manualLayout>
                  <c:x val="-8.8183421516754845E-3"/>
                  <c:y val="-0.13861386138613871"/>
                </c:manualLayout>
              </c:layout>
              <c:dLblPos val="inEnd"/>
              <c:showLegendKey val="1"/>
              <c:showVal val="1"/>
              <c:separator>.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AF3-439B-8471-2FA57022382A}"/>
                </c:ext>
              </c:extLst>
            </c:dLbl>
            <c:dLbl>
              <c:idx val="3"/>
              <c:layout>
                <c:manualLayout>
                  <c:x val="-4.4091710758378472E-3"/>
                  <c:y val="-0.15181518151815249"/>
                </c:manualLayout>
              </c:layout>
              <c:dLblPos val="inEnd"/>
              <c:showLegendKey val="1"/>
              <c:showVal val="1"/>
              <c:separator>.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AF3-439B-8471-2FA57022382A}"/>
                </c:ext>
              </c:extLst>
            </c:dLbl>
            <c:dLbl>
              <c:idx val="4"/>
              <c:layout>
                <c:manualLayout>
                  <c:x val="0"/>
                  <c:y val="-0.14399313947142794"/>
                </c:manualLayout>
              </c:layout>
              <c:dLblPos val="ctr"/>
              <c:showLegendKey val="1"/>
              <c:showVal val="1"/>
              <c:separator>.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AF3-439B-8471-2FA57022382A}"/>
                </c:ext>
              </c:extLst>
            </c:dLbl>
            <c:numFmt formatCode="@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tr-TR"/>
              </a:p>
            </c:txPr>
            <c:dLblPos val="inEnd"/>
            <c:showLegendKey val="1"/>
            <c:showVal val="1"/>
            <c:separator>. </c:separator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Sayfa1!$AH$2:$AH$6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Sayfa1!$AI$2:$AI$6</c:f>
              <c:numCache>
                <c:formatCode>0.00</c:formatCode>
                <c:ptCount val="5"/>
                <c:pt idx="0">
                  <c:v>23</c:v>
                </c:pt>
                <c:pt idx="1">
                  <c:v>44.8</c:v>
                </c:pt>
                <c:pt idx="2">
                  <c:v>20.399999999999999</c:v>
                </c:pt>
                <c:pt idx="3">
                  <c:v>8.4</c:v>
                </c:pt>
                <c:pt idx="4">
                  <c:v>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AF3-439B-8471-2FA57022382A}"/>
            </c:ext>
          </c:extLst>
        </c:ser>
        <c:overlap val="100"/>
        <c:axId val="79096448"/>
        <c:axId val="100532608"/>
      </c:barChart>
      <c:catAx>
        <c:axId val="7909644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tr-TR"/>
          </a:p>
        </c:txPr>
        <c:crossAx val="100532608"/>
        <c:crosses val="autoZero"/>
        <c:auto val="1"/>
        <c:lblAlgn val="ctr"/>
        <c:lblOffset val="100"/>
      </c:catAx>
      <c:valAx>
        <c:axId val="100532608"/>
        <c:scaling>
          <c:orientation val="minMax"/>
        </c:scaling>
        <c:axPos val="l"/>
        <c:majorGridlines/>
        <c:numFmt formatCode="General" sourceLinked="1"/>
        <c:tickLblPos val="nextTo"/>
        <c:spPr>
          <a:noFill/>
        </c:spPr>
        <c:crossAx val="79096448"/>
        <c:crosses val="autoZero"/>
        <c:crossBetween val="between"/>
      </c:valAx>
      <c:spPr>
        <a:solidFill>
          <a:schemeClr val="tx2">
            <a:lumMod val="20000"/>
            <a:lumOff val="80000"/>
          </a:schemeClr>
        </a:solidFill>
      </c:spPr>
    </c:plotArea>
    <c:legend>
      <c:legendPos val="r"/>
      <c:spPr>
        <a:solidFill>
          <a:schemeClr val="tx1">
            <a:lumMod val="65000"/>
            <a:lumOff val="35000"/>
          </a:schemeClr>
        </a:solidFill>
      </c:spPr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tr-TR"/>
        </a:p>
      </c:txPr>
    </c:legend>
    <c:plotVisOnly val="1"/>
    <c:dispBlanksAs val="gap"/>
  </c:chart>
  <c:spPr>
    <a:solidFill>
      <a:schemeClr val="bg1">
        <a:lumMod val="8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style val="4"/>
  <c:chart>
    <c:title>
      <c:layout>
        <c:manualLayout>
          <c:xMode val="edge"/>
          <c:yMode val="edge"/>
          <c:x val="0.27078802239076238"/>
          <c:y val="7.917156482200291E-2"/>
        </c:manualLayout>
      </c:layout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tr-TR"/>
        </a:p>
      </c:txPr>
    </c:title>
    <c:plotArea>
      <c:layout>
        <c:manualLayout>
          <c:layoutTarget val="inner"/>
          <c:xMode val="edge"/>
          <c:yMode val="edge"/>
          <c:x val="0.11843288807033156"/>
          <c:y val="0.25075560977413025"/>
          <c:w val="0.78990048118985112"/>
          <c:h val="0.56861804170275698"/>
        </c:manualLayout>
      </c:layout>
      <c:lineChart>
        <c:grouping val="standard"/>
        <c:ser>
          <c:idx val="0"/>
          <c:order val="0"/>
          <c:tx>
            <c:strRef>
              <c:f>'[Yeni Microsoft Office Excel Çalışma Sayfası.xlsx]Sayfa1'!$AM$1</c:f>
              <c:strCache>
                <c:ptCount val="1"/>
                <c:pt idx="0">
                  <c:v>Soru Bazlı Memnuniyet Oranı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tr-TR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'[Yeni Microsoft Office Excel Çalışma Sayfası.xlsx]Sayfa1'!$AL$2:$AL$12</c:f>
              <c:strCache>
                <c:ptCount val="11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</c:strCache>
            </c:strRef>
          </c:cat>
          <c:val>
            <c:numRef>
              <c:f>'[Yeni Microsoft Office Excel Çalışma Sayfası.xlsx]Sayfa1'!$AM$2:$AM$12</c:f>
              <c:numCache>
                <c:formatCode>0%</c:formatCode>
                <c:ptCount val="11"/>
                <c:pt idx="0">
                  <c:v>0.65000000000000324</c:v>
                </c:pt>
                <c:pt idx="1">
                  <c:v>0.53</c:v>
                </c:pt>
                <c:pt idx="2">
                  <c:v>0.83000000000000063</c:v>
                </c:pt>
                <c:pt idx="3">
                  <c:v>0.88</c:v>
                </c:pt>
                <c:pt idx="4">
                  <c:v>0.56000000000000005</c:v>
                </c:pt>
                <c:pt idx="5">
                  <c:v>0.72000000000000064</c:v>
                </c:pt>
                <c:pt idx="6">
                  <c:v>0.71000000000000063</c:v>
                </c:pt>
                <c:pt idx="7">
                  <c:v>0.78</c:v>
                </c:pt>
                <c:pt idx="8">
                  <c:v>0.48000000000000032</c:v>
                </c:pt>
                <c:pt idx="9">
                  <c:v>0.68</c:v>
                </c:pt>
                <c:pt idx="10">
                  <c:v>0.48000000000000032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011-4D38-B491-B20C332A6718}"/>
            </c:ext>
          </c:extLst>
        </c:ser>
        <c:marker val="1"/>
        <c:axId val="85897984"/>
        <c:axId val="85899520"/>
      </c:lineChart>
      <c:catAx>
        <c:axId val="8589798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95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tr-TR"/>
          </a:p>
        </c:txPr>
        <c:crossAx val="85899520"/>
        <c:crosses val="autoZero"/>
        <c:auto val="1"/>
        <c:lblAlgn val="ctr"/>
        <c:lblOffset val="100"/>
      </c:catAx>
      <c:valAx>
        <c:axId val="85899520"/>
        <c:scaling>
          <c:orientation val="minMax"/>
        </c:scaling>
        <c:axPos val="l"/>
        <c:numFmt formatCode="0%" sourceLinked="1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tr-TR"/>
          </a:p>
        </c:txPr>
        <c:crossAx val="85897984"/>
        <c:crosses val="autoZero"/>
        <c:crossBetween val="between"/>
      </c:valAx>
      <c:spPr>
        <a:solidFill>
          <a:schemeClr val="tx2">
            <a:lumMod val="20000"/>
            <a:lumOff val="80000"/>
          </a:schemeClr>
        </a:solidFill>
      </c:spPr>
    </c:plotArea>
    <c:plotVisOnly val="1"/>
    <c:dispBlanksAs val="gap"/>
  </c:chart>
  <c:spPr>
    <a:solidFill>
      <a:schemeClr val="bg1">
        <a:lumMod val="8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tr-TR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SORU BAZLI TOPLAM PUAN</a:t>
            </a:r>
            <a:endParaRPr lang="tr-TR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tr-TR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KATILIM SAYISI : 15</a:t>
            </a:r>
            <a:endParaRPr lang="tr-TR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1.2075573886597513E-2"/>
          <c:y val="0.14600300522972745"/>
        </c:manualLayout>
      </c:layout>
    </c:title>
    <c:plotArea>
      <c:layout>
        <c:manualLayout>
          <c:layoutTarget val="inner"/>
          <c:xMode val="edge"/>
          <c:yMode val="edge"/>
          <c:x val="2.4992188476440445E-2"/>
          <c:y val="0.27433525966204897"/>
          <c:w val="0.58274694829812945"/>
          <c:h val="0.52682414698162727"/>
        </c:manualLayout>
      </c:layout>
      <c:pieChart>
        <c:varyColors val="1"/>
        <c:ser>
          <c:idx val="1"/>
          <c:order val="0"/>
          <c:tx>
            <c:strRef>
              <c:f>Sayfa1!$J$2</c:f>
              <c:strCache>
                <c:ptCount val="1"/>
                <c:pt idx="0">
                  <c:v>Memnunum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CEB-42F8-99BF-796877CA9EA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CEB-42F8-99BF-796877CA9EA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0CEB-42F8-99BF-796877CA9EA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CEB-42F8-99BF-796877CA9EA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CEB-42F8-99BF-796877CA9EAF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CEB-42F8-99BF-796877CA9EAF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0CEB-42F8-99BF-796877CA9EAF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0CEB-42F8-99BF-796877CA9EAF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0CEB-42F8-99BF-796877CA9EAF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0CEB-42F8-99BF-796877CA9EAF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0CEB-42F8-99BF-796877CA9E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multiLvlStrRef>
              <c:f>Sayfa1!$G$3:$H$13</c:f>
              <c:multiLvlStrCache>
                <c:ptCount val="11"/>
                <c:lvl>
                  <c:pt idx="0">
                    <c:v>İşinizi etkin bir şekilde yapmanız için kullanılan teknik donanımdan</c:v>
                  </c:pt>
                  <c:pt idx="1">
                    <c:v>Çalıştığınız ortamın temizlik ve hijyeninden</c:v>
                  </c:pt>
                  <c:pt idx="2">
                    <c:v>Çalıştığınız birim yönetiminin tutum ve davranışlarından</c:v>
                  </c:pt>
                  <c:pt idx="3">
                    <c:v>Çalıştığınız birim yönetiminin sorumluluk dağıtımından</c:v>
                  </c:pt>
                  <c:pt idx="4">
                    <c:v>Biriminizde sağlanan iş sağlığı ve güvenliği önlemlerinden</c:v>
                  </c:pt>
                  <c:pt idx="5">
                    <c:v>Yemekhane hizmetlerinden</c:v>
                  </c:pt>
                  <c:pt idx="6">
                    <c:v>Alınan güvenlik önlemlerinden</c:v>
                  </c:pt>
                  <c:pt idx="7">
                    <c:v>Çalıştığınız birimin iş akış düzeninden</c:v>
                  </c:pt>
                  <c:pt idx="8">
                    <c:v>İşinizde kendinizi geliştirebilmeniz için sunulan eğitim olanaklarından</c:v>
                  </c:pt>
                  <c:pt idx="9">
                    <c:v>Aldığınız eğitime uygun bir birimde çalışıyor olmanızdan</c:v>
                  </c:pt>
                  <c:pt idx="10">
                    <c:v>Çalıştığınız ortamda şahsınıza verilen değerden</c:v>
                  </c:pt>
                </c:lvl>
                <c:lvl>
                  <c:pt idx="0">
                    <c:v>Soru 1.</c:v>
                  </c:pt>
                  <c:pt idx="1">
                    <c:v>Soru 2.</c:v>
                  </c:pt>
                  <c:pt idx="2">
                    <c:v>Soru 3.</c:v>
                  </c:pt>
                  <c:pt idx="3">
                    <c:v>Soru 4.</c:v>
                  </c:pt>
                  <c:pt idx="4">
                    <c:v>Soru 5.</c:v>
                  </c:pt>
                  <c:pt idx="5">
                    <c:v>Soru 6.</c:v>
                  </c:pt>
                  <c:pt idx="6">
                    <c:v>Soru 7.</c:v>
                  </c:pt>
                  <c:pt idx="7">
                    <c:v>Soru 8.</c:v>
                  </c:pt>
                  <c:pt idx="8">
                    <c:v>Soru 9.</c:v>
                  </c:pt>
                  <c:pt idx="9">
                    <c:v>Soru 10.</c:v>
                  </c:pt>
                  <c:pt idx="10">
                    <c:v>Soru 11.</c:v>
                  </c:pt>
                </c:lvl>
              </c:multiLvlStrCache>
            </c:multiLvlStrRef>
          </c:cat>
          <c:val>
            <c:numRef>
              <c:f>Sayfa1!$J$3:$J$13</c:f>
              <c:numCache>
                <c:formatCode>General</c:formatCode>
                <c:ptCount val="11"/>
                <c:pt idx="0">
                  <c:v>7</c:v>
                </c:pt>
                <c:pt idx="1">
                  <c:v>4</c:v>
                </c:pt>
                <c:pt idx="2">
                  <c:v>3</c:v>
                </c:pt>
                <c:pt idx="3">
                  <c:v>5</c:v>
                </c:pt>
                <c:pt idx="4">
                  <c:v>8</c:v>
                </c:pt>
                <c:pt idx="5">
                  <c:v>7</c:v>
                </c:pt>
                <c:pt idx="6">
                  <c:v>4</c:v>
                </c:pt>
                <c:pt idx="7">
                  <c:v>4</c:v>
                </c:pt>
                <c:pt idx="8">
                  <c:v>10</c:v>
                </c:pt>
                <c:pt idx="9">
                  <c:v>7</c:v>
                </c:pt>
                <c:pt idx="10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CEB-42F8-99BF-796877CA9EAF}"/>
            </c:ext>
          </c:extLst>
        </c:ser>
        <c:ser>
          <c:idx val="2"/>
          <c:order val="1"/>
          <c:tx>
            <c:strRef>
              <c:f>Sayfa1!$K$2</c:f>
              <c:strCache>
                <c:ptCount val="1"/>
                <c:pt idx="0">
                  <c:v>Kısmen Memnunum</c:v>
                </c:pt>
              </c:strCache>
            </c:strRef>
          </c:tx>
          <c:cat>
            <c:multiLvlStrRef>
              <c:f>Sayfa1!$G$3:$H$13</c:f>
              <c:multiLvlStrCache>
                <c:ptCount val="11"/>
                <c:lvl>
                  <c:pt idx="0">
                    <c:v>İşinizi etkin bir şekilde yapmanız için kullanılan teknik donanımdan</c:v>
                  </c:pt>
                  <c:pt idx="1">
                    <c:v>Çalıştığınız ortamın temizlik ve hijyeninden</c:v>
                  </c:pt>
                  <c:pt idx="2">
                    <c:v>Çalıştığınız birim yönetiminin tutum ve davranışlarından</c:v>
                  </c:pt>
                  <c:pt idx="3">
                    <c:v>Çalıştığınız birim yönetiminin sorumluluk dağıtımından</c:v>
                  </c:pt>
                  <c:pt idx="4">
                    <c:v>Biriminizde sağlanan iş sağlığı ve güvenliği önlemlerinden</c:v>
                  </c:pt>
                  <c:pt idx="5">
                    <c:v>Yemekhane hizmetlerinden</c:v>
                  </c:pt>
                  <c:pt idx="6">
                    <c:v>Alınan güvenlik önlemlerinden</c:v>
                  </c:pt>
                  <c:pt idx="7">
                    <c:v>Çalıştığınız birimin iş akış düzeninden</c:v>
                  </c:pt>
                  <c:pt idx="8">
                    <c:v>İşinizde kendinizi geliştirebilmeniz için sunulan eğitim olanaklarından</c:v>
                  </c:pt>
                  <c:pt idx="9">
                    <c:v>Aldığınız eğitime uygun bir birimde çalışıyor olmanızdan</c:v>
                  </c:pt>
                  <c:pt idx="10">
                    <c:v>Çalıştığınız ortamda şahsınıza verilen değerden</c:v>
                  </c:pt>
                </c:lvl>
                <c:lvl>
                  <c:pt idx="0">
                    <c:v>Soru 1.</c:v>
                  </c:pt>
                  <c:pt idx="1">
                    <c:v>Soru 2.</c:v>
                  </c:pt>
                  <c:pt idx="2">
                    <c:v>Soru 3.</c:v>
                  </c:pt>
                  <c:pt idx="3">
                    <c:v>Soru 4.</c:v>
                  </c:pt>
                  <c:pt idx="4">
                    <c:v>Soru 5.</c:v>
                  </c:pt>
                  <c:pt idx="5">
                    <c:v>Soru 6.</c:v>
                  </c:pt>
                  <c:pt idx="6">
                    <c:v>Soru 7.</c:v>
                  </c:pt>
                  <c:pt idx="7">
                    <c:v>Soru 8.</c:v>
                  </c:pt>
                  <c:pt idx="8">
                    <c:v>Soru 9.</c:v>
                  </c:pt>
                  <c:pt idx="9">
                    <c:v>Soru 10.</c:v>
                  </c:pt>
                  <c:pt idx="10">
                    <c:v>Soru 11.</c:v>
                  </c:pt>
                </c:lvl>
              </c:multiLvlStrCache>
            </c:multiLvlStrRef>
          </c:cat>
          <c:val>
            <c:numRef>
              <c:f>Sayfa1!$K$3:$K$13</c:f>
              <c:numCache>
                <c:formatCode>General</c:formatCode>
                <c:ptCount val="11"/>
                <c:pt idx="0">
                  <c:v>4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4</c:v>
                </c:pt>
                <c:pt idx="6">
                  <c:v>4</c:v>
                </c:pt>
                <c:pt idx="7">
                  <c:v>6</c:v>
                </c:pt>
                <c:pt idx="8">
                  <c:v>1</c:v>
                </c:pt>
                <c:pt idx="9">
                  <c:v>2</c:v>
                </c:pt>
                <c:pt idx="10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CEB-42F8-99BF-796877CA9EAF}"/>
            </c:ext>
          </c:extLst>
        </c:ser>
        <c:ser>
          <c:idx val="3"/>
          <c:order val="2"/>
          <c:tx>
            <c:strRef>
              <c:f>Sayfa1!$L$2</c:f>
              <c:strCache>
                <c:ptCount val="1"/>
                <c:pt idx="0">
                  <c:v>Memnun Değilim</c:v>
                </c:pt>
              </c:strCache>
            </c:strRef>
          </c:tx>
          <c:cat>
            <c:multiLvlStrRef>
              <c:f>Sayfa1!$G$3:$H$13</c:f>
              <c:multiLvlStrCache>
                <c:ptCount val="11"/>
                <c:lvl>
                  <c:pt idx="0">
                    <c:v>İşinizi etkin bir şekilde yapmanız için kullanılan teknik donanımdan</c:v>
                  </c:pt>
                  <c:pt idx="1">
                    <c:v>Çalıştığınız ortamın temizlik ve hijyeninden</c:v>
                  </c:pt>
                  <c:pt idx="2">
                    <c:v>Çalıştığınız birim yönetiminin tutum ve davranışlarından</c:v>
                  </c:pt>
                  <c:pt idx="3">
                    <c:v>Çalıştığınız birim yönetiminin sorumluluk dağıtımından</c:v>
                  </c:pt>
                  <c:pt idx="4">
                    <c:v>Biriminizde sağlanan iş sağlığı ve güvenliği önlemlerinden</c:v>
                  </c:pt>
                  <c:pt idx="5">
                    <c:v>Yemekhane hizmetlerinden</c:v>
                  </c:pt>
                  <c:pt idx="6">
                    <c:v>Alınan güvenlik önlemlerinden</c:v>
                  </c:pt>
                  <c:pt idx="7">
                    <c:v>Çalıştığınız birimin iş akış düzeninden</c:v>
                  </c:pt>
                  <c:pt idx="8">
                    <c:v>İşinizde kendinizi geliştirebilmeniz için sunulan eğitim olanaklarından</c:v>
                  </c:pt>
                  <c:pt idx="9">
                    <c:v>Aldığınız eğitime uygun bir birimde çalışıyor olmanızdan</c:v>
                  </c:pt>
                  <c:pt idx="10">
                    <c:v>Çalıştığınız ortamda şahsınıza verilen değerden</c:v>
                  </c:pt>
                </c:lvl>
                <c:lvl>
                  <c:pt idx="0">
                    <c:v>Soru 1.</c:v>
                  </c:pt>
                  <c:pt idx="1">
                    <c:v>Soru 2.</c:v>
                  </c:pt>
                  <c:pt idx="2">
                    <c:v>Soru 3.</c:v>
                  </c:pt>
                  <c:pt idx="3">
                    <c:v>Soru 4.</c:v>
                  </c:pt>
                  <c:pt idx="4">
                    <c:v>Soru 5.</c:v>
                  </c:pt>
                  <c:pt idx="5">
                    <c:v>Soru 6.</c:v>
                  </c:pt>
                  <c:pt idx="6">
                    <c:v>Soru 7.</c:v>
                  </c:pt>
                  <c:pt idx="7">
                    <c:v>Soru 8.</c:v>
                  </c:pt>
                  <c:pt idx="8">
                    <c:v>Soru 9.</c:v>
                  </c:pt>
                  <c:pt idx="9">
                    <c:v>Soru 10.</c:v>
                  </c:pt>
                  <c:pt idx="10">
                    <c:v>Soru 11.</c:v>
                  </c:pt>
                </c:lvl>
              </c:multiLvlStrCache>
            </c:multiLvlStrRef>
          </c:cat>
          <c:val>
            <c:numRef>
              <c:f>Sayfa1!$L$3:$L$13</c:f>
              <c:numCache>
                <c:formatCode>General</c:formatCode>
                <c:ptCount val="11"/>
                <c:pt idx="0">
                  <c:v>1</c:v>
                </c:pt>
                <c:pt idx="1">
                  <c:v>5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3</c:v>
                </c:pt>
                <c:pt idx="10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CEB-42F8-99BF-796877CA9EAF}"/>
            </c:ext>
          </c:extLst>
        </c:ser>
        <c:ser>
          <c:idx val="4"/>
          <c:order val="3"/>
          <c:tx>
            <c:strRef>
              <c:f>Sayfa1!$M$2</c:f>
              <c:strCache>
                <c:ptCount val="1"/>
                <c:pt idx="0">
                  <c:v>Hiç Memnun Değilim</c:v>
                </c:pt>
              </c:strCache>
            </c:strRef>
          </c:tx>
          <c:cat>
            <c:multiLvlStrRef>
              <c:f>Sayfa1!$G$3:$H$13</c:f>
              <c:multiLvlStrCache>
                <c:ptCount val="11"/>
                <c:lvl>
                  <c:pt idx="0">
                    <c:v>İşinizi etkin bir şekilde yapmanız için kullanılan teknik donanımdan</c:v>
                  </c:pt>
                  <c:pt idx="1">
                    <c:v>Çalıştığınız ortamın temizlik ve hijyeninden</c:v>
                  </c:pt>
                  <c:pt idx="2">
                    <c:v>Çalıştığınız birim yönetiminin tutum ve davranışlarından</c:v>
                  </c:pt>
                  <c:pt idx="3">
                    <c:v>Çalıştığınız birim yönetiminin sorumluluk dağıtımından</c:v>
                  </c:pt>
                  <c:pt idx="4">
                    <c:v>Biriminizde sağlanan iş sağlığı ve güvenliği önlemlerinden</c:v>
                  </c:pt>
                  <c:pt idx="5">
                    <c:v>Yemekhane hizmetlerinden</c:v>
                  </c:pt>
                  <c:pt idx="6">
                    <c:v>Alınan güvenlik önlemlerinden</c:v>
                  </c:pt>
                  <c:pt idx="7">
                    <c:v>Çalıştığınız birimin iş akış düzeninden</c:v>
                  </c:pt>
                  <c:pt idx="8">
                    <c:v>İşinizde kendinizi geliştirebilmeniz için sunulan eğitim olanaklarından</c:v>
                  </c:pt>
                  <c:pt idx="9">
                    <c:v>Aldığınız eğitime uygun bir birimde çalışıyor olmanızdan</c:v>
                  </c:pt>
                  <c:pt idx="10">
                    <c:v>Çalıştığınız ortamda şahsınıza verilen değerden</c:v>
                  </c:pt>
                </c:lvl>
                <c:lvl>
                  <c:pt idx="0">
                    <c:v>Soru 1.</c:v>
                  </c:pt>
                  <c:pt idx="1">
                    <c:v>Soru 2.</c:v>
                  </c:pt>
                  <c:pt idx="2">
                    <c:v>Soru 3.</c:v>
                  </c:pt>
                  <c:pt idx="3">
                    <c:v>Soru 4.</c:v>
                  </c:pt>
                  <c:pt idx="4">
                    <c:v>Soru 5.</c:v>
                  </c:pt>
                  <c:pt idx="5">
                    <c:v>Soru 6.</c:v>
                  </c:pt>
                  <c:pt idx="6">
                    <c:v>Soru 7.</c:v>
                  </c:pt>
                  <c:pt idx="7">
                    <c:v>Soru 8.</c:v>
                  </c:pt>
                  <c:pt idx="8">
                    <c:v>Soru 9.</c:v>
                  </c:pt>
                  <c:pt idx="9">
                    <c:v>Soru 10.</c:v>
                  </c:pt>
                  <c:pt idx="10">
                    <c:v>Soru 11.</c:v>
                  </c:pt>
                </c:lvl>
              </c:multiLvlStrCache>
            </c:multiLvlStrRef>
          </c:cat>
          <c:val>
            <c:numRef>
              <c:f>Sayfa1!$M$3:$M$13</c:f>
              <c:numCache>
                <c:formatCode>General</c:formatCode>
                <c:ptCount val="11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  <c:pt idx="6">
                  <c:v>0</c:v>
                </c:pt>
                <c:pt idx="7">
                  <c:v>3</c:v>
                </c:pt>
                <c:pt idx="8">
                  <c:v>1</c:v>
                </c:pt>
                <c:pt idx="9">
                  <c:v>1</c:v>
                </c:pt>
                <c:pt idx="10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CEB-42F8-99BF-796877CA9EAF}"/>
            </c:ext>
          </c:extLst>
        </c:ser>
        <c:ser>
          <c:idx val="5"/>
          <c:order val="4"/>
          <c:tx>
            <c:strRef>
              <c:f>Sayfa1!$N$2</c:f>
              <c:strCache>
                <c:ptCount val="1"/>
                <c:pt idx="0">
                  <c:v>Katılan Kişi</c:v>
                </c:pt>
              </c:strCache>
            </c:strRef>
          </c:tx>
          <c:cat>
            <c:multiLvlStrRef>
              <c:f>Sayfa1!$G$3:$H$13</c:f>
              <c:multiLvlStrCache>
                <c:ptCount val="11"/>
                <c:lvl>
                  <c:pt idx="0">
                    <c:v>İşinizi etkin bir şekilde yapmanız için kullanılan teknik donanımdan</c:v>
                  </c:pt>
                  <c:pt idx="1">
                    <c:v>Çalıştığınız ortamın temizlik ve hijyeninden</c:v>
                  </c:pt>
                  <c:pt idx="2">
                    <c:v>Çalıştığınız birim yönetiminin tutum ve davranışlarından</c:v>
                  </c:pt>
                  <c:pt idx="3">
                    <c:v>Çalıştığınız birim yönetiminin sorumluluk dağıtımından</c:v>
                  </c:pt>
                  <c:pt idx="4">
                    <c:v>Biriminizde sağlanan iş sağlığı ve güvenliği önlemlerinden</c:v>
                  </c:pt>
                  <c:pt idx="5">
                    <c:v>Yemekhane hizmetlerinden</c:v>
                  </c:pt>
                  <c:pt idx="6">
                    <c:v>Alınan güvenlik önlemlerinden</c:v>
                  </c:pt>
                  <c:pt idx="7">
                    <c:v>Çalıştığınız birimin iş akış düzeninden</c:v>
                  </c:pt>
                  <c:pt idx="8">
                    <c:v>İşinizde kendinizi geliştirebilmeniz için sunulan eğitim olanaklarından</c:v>
                  </c:pt>
                  <c:pt idx="9">
                    <c:v>Aldığınız eğitime uygun bir birimde çalışıyor olmanızdan</c:v>
                  </c:pt>
                  <c:pt idx="10">
                    <c:v>Çalıştığınız ortamda şahsınıza verilen değerden</c:v>
                  </c:pt>
                </c:lvl>
                <c:lvl>
                  <c:pt idx="0">
                    <c:v>Soru 1.</c:v>
                  </c:pt>
                  <c:pt idx="1">
                    <c:v>Soru 2.</c:v>
                  </c:pt>
                  <c:pt idx="2">
                    <c:v>Soru 3.</c:v>
                  </c:pt>
                  <c:pt idx="3">
                    <c:v>Soru 4.</c:v>
                  </c:pt>
                  <c:pt idx="4">
                    <c:v>Soru 5.</c:v>
                  </c:pt>
                  <c:pt idx="5">
                    <c:v>Soru 6.</c:v>
                  </c:pt>
                  <c:pt idx="6">
                    <c:v>Soru 7.</c:v>
                  </c:pt>
                  <c:pt idx="7">
                    <c:v>Soru 8.</c:v>
                  </c:pt>
                  <c:pt idx="8">
                    <c:v>Soru 9.</c:v>
                  </c:pt>
                  <c:pt idx="9">
                    <c:v>Soru 10.</c:v>
                  </c:pt>
                  <c:pt idx="10">
                    <c:v>Soru 11.</c:v>
                  </c:pt>
                </c:lvl>
              </c:multiLvlStrCache>
            </c:multiLvlStrRef>
          </c:cat>
          <c:val>
            <c:numRef>
              <c:f>Sayfa1!$N$3:$N$13</c:f>
              <c:numCache>
                <c:formatCode>General</c:formatCode>
                <c:ptCount val="11"/>
                <c:pt idx="0">
                  <c:v>15</c:v>
                </c:pt>
                <c:pt idx="1">
                  <c:v>15</c:v>
                </c:pt>
                <c:pt idx="2">
                  <c:v>15</c:v>
                </c:pt>
                <c:pt idx="3">
                  <c:v>15</c:v>
                </c:pt>
                <c:pt idx="4">
                  <c:v>15</c:v>
                </c:pt>
                <c:pt idx="5">
                  <c:v>14</c:v>
                </c:pt>
                <c:pt idx="6">
                  <c:v>13</c:v>
                </c:pt>
                <c:pt idx="7">
                  <c:v>14</c:v>
                </c:pt>
                <c:pt idx="8">
                  <c:v>15</c:v>
                </c:pt>
                <c:pt idx="9">
                  <c:v>15</c:v>
                </c:pt>
                <c:pt idx="10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CEB-42F8-99BF-796877CA9EAF}"/>
            </c:ext>
          </c:extLst>
        </c:ser>
        <c:firstSliceAng val="0"/>
      </c:pieChart>
    </c:plotArea>
    <c:legend>
      <c:legendPos val="r"/>
      <c:layout>
        <c:manualLayout>
          <c:xMode val="edge"/>
          <c:yMode val="edge"/>
          <c:x val="0.62526437667513868"/>
          <c:y val="2.0735780120508199E-2"/>
          <c:w val="0.33505308364232289"/>
          <c:h val="0.92557309260109366"/>
        </c:manualLayout>
      </c:layout>
      <c:spPr>
        <a:effectLst>
          <a:outerShdw dist="50800" sx="1000" sy="1000" algn="ctr" rotWithShape="0">
            <a:srgbClr val="000000"/>
          </a:outerShdw>
        </a:effectLst>
      </c:spPr>
      <c:txPr>
        <a:bodyPr/>
        <a:lstStyle/>
        <a:p>
          <a:pPr>
            <a:defRPr sz="105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tr-TR"/>
        </a:p>
      </c:txPr>
    </c:legend>
    <c:plotVisOnly val="1"/>
    <c:dispBlanksAs val="zero"/>
  </c:chart>
  <c:spPr>
    <a:solidFill>
      <a:schemeClr val="bg1">
        <a:lumMod val="8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DC520-3BA4-4BC0-A50F-A591CE382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5</cp:revision>
  <dcterms:created xsi:type="dcterms:W3CDTF">2022-12-02T11:16:00Z</dcterms:created>
  <dcterms:modified xsi:type="dcterms:W3CDTF">2022-12-16T05:23:00Z</dcterms:modified>
</cp:coreProperties>
</file>