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DİCLE ÜNİVERSİTESİ</w:t>
        <w:br/>
        <w:t>İKTİSADİ VE İDARİ BİLİMLER FAKÜLTESİ</w:t>
      </w:r>
    </w:p>
    <w:p>
      <w:pPr>
        <w:jc w:val="center"/>
      </w:pPr>
      <w:r>
        <w:rPr>
          <w:b/>
          <w:sz w:val="34"/>
        </w:rPr>
        <w:t>2026 ORYANTASYON PROGRAMI</w:t>
        <w:br/>
        <w:t>ÖĞRENCİ ETKİNLİK DEĞERLENDİRME RAPORU</w:t>
      </w:r>
    </w:p>
    <w:p>
      <w:pPr>
        <w:jc w:val="center"/>
      </w:pPr>
      <w:r>
        <w:rPr>
          <w:sz w:val="22"/>
        </w:rPr>
        <w:t>Etkinlik Tarihi: 29 Eylül 2026</w:t>
        <w:br/>
        <w:t>Yer: İİBF Konferans Salonu</w:t>
      </w:r>
    </w:p>
    <w:p>
      <w:r>
        <w:rPr>
          <w:b/>
        </w:rPr>
        <w:t xml:space="preserve">Kapsam. </w:t>
      </w:r>
      <w:r>
        <w:t>Bu rapor, 29/09/2026 tarihinde İİBF Konferans Salonunda gerçekleştirilen 2026 Oryantasyon Programına ilişkin öğrenci değerlendirme anketinin sonuçlarına dayanmaktadır. Yüklenen Excel dosyasında 40 geçerli öğrenci değerlendirmesi bulunmaktadır. Analizler bu 40 yanıt üzerinden yapılmıştır.</w:t>
      </w:r>
    </w:p>
    <w:p>
      <w:pPr>
        <w:pStyle w:val="Heading1"/>
      </w:pPr>
      <w:r>
        <w:t>1. Yönetici Özeti</w:t>
      </w:r>
    </w:p>
    <w:p>
      <w:r>
        <w:rPr>
          <w:b/>
        </w:rPr>
        <w:t xml:space="preserve">Genel memnuniyet oranı %77,91’dir. </w:t>
      </w:r>
      <w:r>
        <w:t>Sonuçlar, oryantasyon programının öğrencilerin üniversiteye ve akademik yaşama uyumunda genel olarak başarılı olduğunu göstermektedir. En yüksek değerlendirme, öğrencilerin kendilerini üniversiteye daha hazırlıklı hissetmesine yönelik maddede (%82) elde edilmiştir. Eğitim-öğretim süreçleri hakkında verilen bilginin yeterliliği %80,5; üniversiteye uyum sürecine katkı %79,5; temel üniversite yaşamı bilgileri ve dijital sistemlere ilişkin bilgilendirme %79,5 düzeyindedir.</w:t>
      </w:r>
    </w:p>
    <w:p>
      <w:r>
        <w:rPr>
          <w:b/>
        </w:rPr>
        <w:t xml:space="preserve">Geliştirilmesi gereken başlıca alanlar </w:t>
      </w:r>
      <w:r>
        <w:t>uluslararası öğrenci hareketliliği (%73) ve özellikle yükseköğretimde kalite güvencesi sistemi (%67) olarak öne çıkmaktadır. Açık uçlu yanıtlar da sosyal imkânlar, öğrenci kulüpleri, Erasmus, staj/laboratuvar kullanımı ve kampüsün daha yakından tanıtılması konularında daha ayrıntılı bilgilendirme beklentisi olduğunu göstermektedir.</w:t>
      </w:r>
    </w:p>
    <w:p>
      <w:pPr>
        <w:pStyle w:val="Heading1"/>
      </w:pPr>
      <w:r>
        <w:t>2. Katılımcı Profili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</w:tcPr>
          <w:p>
            <w:r>
              <w:rPr>
                <w:rFonts w:ascii="Arial" w:hAnsi="Arial"/>
                <w:b/>
                <w:sz w:val="17"/>
              </w:rPr>
              <w:t>Gösterge</w:t>
            </w:r>
          </w:p>
        </w:tc>
        <w:tc>
          <w:tcPr>
            <w:tcW w:type="dxa" w:w="3249"/>
            <w:vAlign w:val="center"/>
          </w:tcPr>
          <w:p>
            <w:r>
              <w:rPr>
                <w:rFonts w:ascii="Arial" w:hAnsi="Arial"/>
                <w:b/>
                <w:sz w:val="17"/>
              </w:rPr>
              <w:t>Sayı</w:t>
            </w:r>
          </w:p>
        </w:tc>
        <w:tc>
          <w:tcPr>
            <w:tcW w:type="dxa" w:w="3249"/>
            <w:vAlign w:val="center"/>
          </w:tcPr>
          <w:p>
            <w:r>
              <w:rPr>
                <w:rFonts w:ascii="Arial" w:hAnsi="Arial"/>
                <w:b/>
                <w:sz w:val="17"/>
              </w:rPr>
              <w:t>Oran</w:t>
            </w:r>
          </w:p>
        </w:tc>
      </w:tr>
      <w:tr>
        <w:tc>
          <w:tcPr>
            <w:tcW w:type="dxa" w:w="3249"/>
            <w:vAlign w:val="center"/>
          </w:tcPr>
          <w:p>
            <w:r>
              <w:rPr>
                <w:rFonts w:ascii="Arial" w:hAnsi="Arial"/>
                <w:sz w:val="17"/>
              </w:rPr>
              <w:t>Toplam geçerli yanıt</w:t>
            </w:r>
          </w:p>
        </w:tc>
        <w:tc>
          <w:tcPr>
            <w:tcW w:type="dxa" w:w="3249"/>
            <w:vAlign w:val="center"/>
          </w:tcPr>
          <w:p>
            <w:r>
              <w:rPr>
                <w:rFonts w:ascii="Arial" w:hAnsi="Arial"/>
                <w:sz w:val="17"/>
              </w:rPr>
              <w:t>40</w:t>
            </w:r>
          </w:p>
        </w:tc>
        <w:tc>
          <w:tcPr>
            <w:tcW w:type="dxa" w:w="3249"/>
            <w:vAlign w:val="center"/>
          </w:tcPr>
          <w:p>
            <w:r>
              <w:rPr>
                <w:rFonts w:ascii="Arial" w:hAnsi="Arial"/>
                <w:sz w:val="17"/>
              </w:rPr>
              <w:t>%100</w:t>
            </w:r>
          </w:p>
        </w:tc>
      </w:tr>
      <w:tr>
        <w:tc>
          <w:tcPr>
            <w:tcW w:type="dxa" w:w="3249"/>
            <w:vAlign w:val="center"/>
          </w:tcPr>
          <w:p>
            <w:r>
              <w:rPr>
                <w:rFonts w:ascii="Arial" w:hAnsi="Arial"/>
                <w:sz w:val="17"/>
              </w:rPr>
              <w:t>Kadın</w:t>
            </w:r>
          </w:p>
        </w:tc>
        <w:tc>
          <w:tcPr>
            <w:tcW w:type="dxa" w:w="3249"/>
            <w:vAlign w:val="center"/>
          </w:tcPr>
          <w:p>
            <w:r>
              <w:rPr>
                <w:rFonts w:ascii="Arial" w:hAnsi="Arial"/>
                <w:sz w:val="17"/>
              </w:rPr>
              <w:t>23</w:t>
            </w:r>
          </w:p>
        </w:tc>
        <w:tc>
          <w:tcPr>
            <w:tcW w:type="dxa" w:w="3249"/>
            <w:vAlign w:val="center"/>
          </w:tcPr>
          <w:p>
            <w:r>
              <w:rPr>
                <w:rFonts w:ascii="Arial" w:hAnsi="Arial"/>
                <w:sz w:val="17"/>
              </w:rPr>
              <w:t>%58</w:t>
            </w:r>
          </w:p>
        </w:tc>
      </w:tr>
      <w:tr>
        <w:tc>
          <w:tcPr>
            <w:tcW w:type="dxa" w:w="3249"/>
            <w:vAlign w:val="center"/>
          </w:tcPr>
          <w:p>
            <w:r>
              <w:rPr>
                <w:rFonts w:ascii="Arial" w:hAnsi="Arial"/>
                <w:sz w:val="17"/>
              </w:rPr>
              <w:t>Erkek</w:t>
            </w:r>
          </w:p>
        </w:tc>
        <w:tc>
          <w:tcPr>
            <w:tcW w:type="dxa" w:w="3249"/>
            <w:vAlign w:val="center"/>
          </w:tcPr>
          <w:p>
            <w:r>
              <w:rPr>
                <w:rFonts w:ascii="Arial" w:hAnsi="Arial"/>
                <w:sz w:val="17"/>
              </w:rPr>
              <w:t>17</w:t>
            </w:r>
          </w:p>
        </w:tc>
        <w:tc>
          <w:tcPr>
            <w:tcW w:type="dxa" w:w="3249"/>
            <w:vAlign w:val="center"/>
          </w:tcPr>
          <w:p>
            <w:r>
              <w:rPr>
                <w:rFonts w:ascii="Arial" w:hAnsi="Arial"/>
                <w:sz w:val="17"/>
              </w:rPr>
              <w:t>%42</w:t>
            </w:r>
          </w:p>
        </w:tc>
      </w:tr>
      <w:tr>
        <w:tc>
          <w:tcPr>
            <w:tcW w:type="dxa" w:w="3249"/>
            <w:vAlign w:val="center"/>
          </w:tcPr>
          <w:p>
            <w:r>
              <w:rPr>
                <w:rFonts w:ascii="Arial" w:hAnsi="Arial"/>
                <w:sz w:val="17"/>
              </w:rPr>
              <w:t>18–25 yaş</w:t>
            </w:r>
          </w:p>
        </w:tc>
        <w:tc>
          <w:tcPr>
            <w:tcW w:type="dxa" w:w="3249"/>
            <w:vAlign w:val="center"/>
          </w:tcPr>
          <w:p>
            <w:r>
              <w:rPr>
                <w:rFonts w:ascii="Arial" w:hAnsi="Arial"/>
                <w:sz w:val="17"/>
              </w:rPr>
              <w:t>31</w:t>
            </w:r>
          </w:p>
        </w:tc>
        <w:tc>
          <w:tcPr>
            <w:tcW w:type="dxa" w:w="3249"/>
            <w:vAlign w:val="center"/>
          </w:tcPr>
          <w:p>
            <w:r>
              <w:rPr>
                <w:rFonts w:ascii="Arial" w:hAnsi="Arial"/>
                <w:sz w:val="17"/>
              </w:rPr>
              <w:t>%78</w:t>
            </w:r>
          </w:p>
        </w:tc>
      </w:tr>
      <w:tr>
        <w:tc>
          <w:tcPr>
            <w:tcW w:type="dxa" w:w="3249"/>
            <w:vAlign w:val="center"/>
          </w:tcPr>
          <w:p>
            <w:r>
              <w:rPr>
                <w:rFonts w:ascii="Arial" w:hAnsi="Arial"/>
                <w:sz w:val="17"/>
              </w:rPr>
              <w:t>26–40 yaş</w:t>
            </w:r>
          </w:p>
        </w:tc>
        <w:tc>
          <w:tcPr>
            <w:tcW w:type="dxa" w:w="3249"/>
            <w:vAlign w:val="center"/>
          </w:tcPr>
          <w:p>
            <w:r>
              <w:rPr>
                <w:rFonts w:ascii="Arial" w:hAnsi="Arial"/>
                <w:sz w:val="17"/>
              </w:rPr>
              <w:t>8</w:t>
            </w:r>
          </w:p>
        </w:tc>
        <w:tc>
          <w:tcPr>
            <w:tcW w:type="dxa" w:w="3249"/>
            <w:vAlign w:val="center"/>
          </w:tcPr>
          <w:p>
            <w:r>
              <w:rPr>
                <w:rFonts w:ascii="Arial" w:hAnsi="Arial"/>
                <w:sz w:val="17"/>
              </w:rPr>
              <w:t>%20</w:t>
            </w:r>
          </w:p>
        </w:tc>
      </w:tr>
      <w:tr>
        <w:tc>
          <w:tcPr>
            <w:tcW w:type="dxa" w:w="3249"/>
            <w:vAlign w:val="center"/>
          </w:tcPr>
          <w:p>
            <w:r>
              <w:rPr>
                <w:rFonts w:ascii="Arial" w:hAnsi="Arial"/>
                <w:sz w:val="17"/>
              </w:rPr>
              <w:t>40 yaş ve üzeri</w:t>
            </w:r>
          </w:p>
        </w:tc>
        <w:tc>
          <w:tcPr>
            <w:tcW w:type="dxa" w:w="3249"/>
            <w:vAlign w:val="center"/>
          </w:tcPr>
          <w:p>
            <w:r>
              <w:rPr>
                <w:rFonts w:ascii="Arial" w:hAnsi="Arial"/>
                <w:sz w:val="17"/>
              </w:rPr>
              <w:t>1</w:t>
            </w:r>
          </w:p>
        </w:tc>
        <w:tc>
          <w:tcPr>
            <w:tcW w:type="dxa" w:w="3249"/>
            <w:vAlign w:val="center"/>
          </w:tcPr>
          <w:p>
            <w:r>
              <w:rPr>
                <w:rFonts w:ascii="Arial" w:hAnsi="Arial"/>
                <w:sz w:val="17"/>
              </w:rPr>
              <w:t>%2</w:t>
            </w:r>
          </w:p>
        </w:tc>
      </w:tr>
      <w:tr>
        <w:tc>
          <w:tcPr>
            <w:tcW w:type="dxa" w:w="3249"/>
            <w:vAlign w:val="center"/>
          </w:tcPr>
          <w:p>
            <w:r>
              <w:rPr>
                <w:rFonts w:ascii="Arial" w:hAnsi="Arial"/>
                <w:sz w:val="17"/>
              </w:rPr>
              <w:t>Lisans</w:t>
            </w:r>
          </w:p>
        </w:tc>
        <w:tc>
          <w:tcPr>
            <w:tcW w:type="dxa" w:w="3249"/>
            <w:vAlign w:val="center"/>
          </w:tcPr>
          <w:p>
            <w:r>
              <w:rPr>
                <w:rFonts w:ascii="Arial" w:hAnsi="Arial"/>
                <w:sz w:val="17"/>
              </w:rPr>
              <w:t>40</w:t>
            </w:r>
          </w:p>
        </w:tc>
        <w:tc>
          <w:tcPr>
            <w:tcW w:type="dxa" w:w="3249"/>
            <w:vAlign w:val="center"/>
          </w:tcPr>
          <w:p>
            <w:r>
              <w:rPr>
                <w:rFonts w:ascii="Arial" w:hAnsi="Arial"/>
                <w:sz w:val="17"/>
              </w:rPr>
              <w:t>%100</w:t>
            </w:r>
          </w:p>
        </w:tc>
      </w:tr>
    </w:tbl>
    <w:p>
      <w:pPr>
        <w:pStyle w:val="Heading1"/>
      </w:pPr>
      <w:r>
        <w:t>3. Bölüm Bazlı Katılım Tablosu</w:t>
      </w:r>
    </w:p>
    <w:p>
      <w:r>
        <w:t>Anketi yanıtlayan öğrencilerin tamamı İİBF bünyesindeki beş bölümden oluşmaktadır.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b/>
                <w:sz w:val="17"/>
              </w:rPr>
              <w:t>Sıra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b/>
                <w:sz w:val="17"/>
              </w:rPr>
              <w:t>Bölüm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b/>
                <w:sz w:val="17"/>
              </w:rPr>
              <w:t>Katılımcı Sayısı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b/>
                <w:sz w:val="17"/>
              </w:rPr>
              <w:t>Pay (%)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1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İktisat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14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35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2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İşletme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11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28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3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Siyaset Bilimi ve Kamu Yönetimi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7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18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4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Sosyal Hizmet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6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15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5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Sağlık Yönetimi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2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5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Toplam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40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100</w:t>
            </w:r>
          </w:p>
        </w:tc>
      </w:tr>
    </w:tbl>
    <w:p>
      <w:r>
        <w:t>Veri notu: Dosya toplulaştırılmış anket çıktısı olduğundan bölüm bazında 16 sorunun ayrı ayrı memnuniyet oranları verilmemiştir. Bu nedenle bölüm bazlı karşılaştırma katılımcı sayısı/pay üzerinden yapılmıştır.</w:t>
      </w:r>
    </w:p>
    <w:p>
      <w:pPr>
        <w:pStyle w:val="Heading1"/>
      </w:pPr>
      <w:r>
        <w:t>4. Soru Bazlı Memnuniyet Analizi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b/>
                <w:sz w:val="17"/>
              </w:rPr>
              <w:t>No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b/>
                <w:sz w:val="17"/>
              </w:rPr>
              <w:t>Değerlendirilen boyut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b/>
                <w:sz w:val="17"/>
              </w:rPr>
              <w:t>Memnuniyet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b/>
                <w:sz w:val="17"/>
              </w:rPr>
              <w:t>Değerlendirme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1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Programın planlanması ve yürütülmesi (zamanlama, süre, mekân ve sunumlar)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%79.0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Güçlü / olumlu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2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Akademik/idari personelin ilgisi ve desteği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%78.5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Güçlü / olumlu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3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Kampüs, akademik/idari birimler ve kütüphane tanıtımlarının bilgilendiriciliği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%78.5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Güçlü / olumlu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4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Eğitim-öğretim süreçleri (ders kayıtları, program, devam, sınav ve değerlendirme)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%80.5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Çok güçlü alan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5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Yönetmelikler ile öğrenci hak ve sorumlulukları hakkında bilgilendirme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%78.0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Güçlü / olumlu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6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İletişim/duyuru, burs, yemek, ulaşım ve yarı zamanlı çalışma gibi temel konular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%79.5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Güçlü / olumlu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7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Dijital sistemler (ÖBS, e-posta, uzaktan eğitim, e-kütüphane vb.)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%79.5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Güçlü / olumlu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8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Sosyal, kültürel, sportif faaliyetler ve öğrenci kulüpleri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%79.0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Güçlü / olumlu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9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Psikolojik danışmanlık ve öğrenci destek hizmetleri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%79.5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Güçlü / olumlu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10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Kariyer planlama destek hizmetleri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%78.0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Güçlü / olumlu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11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Akademik birim, bölüm işleyişi, danışmanlık, derslik/laboratuvar vb.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%78.0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Güçlü / olumlu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12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Yan dal/çift dal/yatay-dikey geçiş ve lisansüstü olanakları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%77.0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Güçlü / olumlu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13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Uluslararası öğrenci hareketliliği (Erasmus, Mevlana vb.)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%73.0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Olumlu, geliştirilebilir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14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Yükseköğretimde kalite güvencesi sistemi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%67.0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Öncelikli geliştirme alanı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15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Üniversiteye yeni başlayan öğrenci olarak daha hazırlıklı hissetme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%82.0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Çok güçlü alan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16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Üniversiteye uyum sürecine katkı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%79.5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Güçlü / olumlu</w:t>
            </w:r>
          </w:p>
        </w:tc>
      </w:tr>
    </w:tbl>
    <w:p>
      <w:pPr>
        <w:pStyle w:val="Heading1"/>
      </w:pPr>
      <w:r>
        <w:t>5. En Güçlü Yönler</w:t>
      </w:r>
    </w:p>
    <w:p>
      <w:pPr>
        <w:pStyle w:val="ListBullet"/>
      </w:pPr>
      <w:r>
        <w:t>Öğrencilerin üniversiteye yeni başlayan bir öğrenci olarak kendilerini daha hazırlıklı hissetmeleri (%82) programın en güçlü çıktısıdır.</w:t>
      </w:r>
    </w:p>
    <w:p>
      <w:pPr>
        <w:pStyle w:val="ListBullet"/>
      </w:pPr>
      <w:r>
        <w:t>Eğitim-öğretim süreçleri hakkında verilen bilginin yeterliliği (%80,5) yüksek düzeydedir; ders kayıtları, ders programları, devam koşulları ve sınav/değerlendirme sistemi özellikle yararlı bulunmuştur.</w:t>
      </w:r>
    </w:p>
    <w:p>
      <w:pPr>
        <w:pStyle w:val="ListBullet"/>
      </w:pPr>
      <w:r>
        <w:t>Üniversiteye uyum sürecine katkı (%79,5), temel üniversite yaşamı bilgileri (%79,5) ve dijital sistemler (%79,5) programın öğrencilerin günlük akademik yaşama geçişini desteklediğini göstermektedir.</w:t>
      </w:r>
    </w:p>
    <w:p>
      <w:pPr>
        <w:pStyle w:val="ListBullet"/>
      </w:pPr>
      <w:r>
        <w:t>Personelin ilgisi ve desteği ile kampüs/birim tanıtımları da yaklaşık %78,5 düzeyinde olumlu değerlendirilmiştir.</w:t>
      </w:r>
    </w:p>
    <w:p>
      <w:pPr>
        <w:pStyle w:val="Heading1"/>
      </w:pPr>
      <w:r>
        <w:t>6. Geliştirilmesi Gereken Alanlar</w:t>
      </w:r>
    </w:p>
    <w:p>
      <w:pPr>
        <w:pStyle w:val="ListBullet"/>
      </w:pPr>
      <w:r>
        <w:t>Kalite güvencesi sistemi: %67 ile en düşük memnuniyet oranına sahiptir. Kalite komisyonları, PUKÖ döngüsü, öğrenci geri bildiriminin karar alma süreçlerine etkisi ve kalite kültürü kısa ve uygulamalı biçimde anlatılmalıdır.</w:t>
      </w:r>
    </w:p>
    <w:p>
      <w:pPr>
        <w:pStyle w:val="ListBullet"/>
      </w:pPr>
      <w:r>
        <w:t>Uluslararası hareketlilik: Erasmus/Mevlana vb. konusunda memnuniyet %73’tür. Başvuru şartları, tarihler, yabancı dil, hibe imkânları ve bölüm bazlı anlaşmalar somut örneklerle açıklanmalıdır.</w:t>
      </w:r>
    </w:p>
    <w:p>
      <w:pPr>
        <w:pStyle w:val="ListBullet"/>
      </w:pPr>
      <w:r>
        <w:t>Sosyal imkânlar ve öğrenci kulüpleri: Açık uçlu yanıtlarda bu konuların daha ayrıntılı tanıtılması gerektiği tekrar tekrar belirtilmiştir.</w:t>
      </w:r>
    </w:p>
    <w:p>
      <w:pPr>
        <w:pStyle w:val="ListBullet"/>
      </w:pPr>
      <w:r>
        <w:t>Staj ve laboratuvar kullanımı: Öğrenciler staj süreçleri ile laboratuvarların kullanımına ilişkin daha fazla bilgilendirme istemiştir.</w:t>
      </w:r>
    </w:p>
    <w:p>
      <w:pPr>
        <w:pStyle w:val="ListBullet"/>
      </w:pPr>
      <w:r>
        <w:t>Kampüs deneyimi: Kampüs gezisi, öğrencilerin fiziksel mekânları tanımasını sağlayacak uygulamalı bir oryantasyon bileşeni olarak programa eklenmelidir.</w:t>
      </w:r>
    </w:p>
    <w:p>
      <w:pPr>
        <w:pStyle w:val="Heading1"/>
      </w:pPr>
      <w:r>
        <w:t>7. Açık Uçlu Yanıtların Değerlendirilmesi</w:t>
      </w:r>
    </w:p>
    <w:p>
      <w:r>
        <w:rPr>
          <w:b/>
        </w:rPr>
        <w:t xml:space="preserve">En yararlı bulunan konular: </w:t>
      </w:r>
      <w:r>
        <w:t>Sınav sistemi en sık tekrar edilen yararlı konu olarak öne çıkmaktadır. Bunun yanında öğrenci bilgi sistemleri, üniversitenin işleyişi, iletişim, kampüs olanakları, Erasmus, bölümün tanınması, sosyalleşme ve ders/çalışma alanları da yararlı bulunmuştur.</w:t>
      </w:r>
    </w:p>
    <w:p>
      <w:r>
        <w:rPr>
          <w:b/>
        </w:rPr>
        <w:t xml:space="preserve">Yeterince ele alınmadığı düşünülen konular: </w:t>
      </w:r>
      <w:r>
        <w:t>Sosyal imkânlar ve öğrenci kulüpleri en belirgin geliştirme alanıdır. Ayrıca staj ve laboratuvar kullanımı, Erasmus ve kampüs/psikolojik danışmanlık hizmetleri de dile getirilmiştir. Bazı öğrenciler programı yeterli bulduklarını belirtmiştir.</w:t>
      </w:r>
    </w:p>
    <w:p>
      <w:r>
        <w:rPr>
          <w:b/>
        </w:rPr>
        <w:t xml:space="preserve">Öneriler: </w:t>
      </w:r>
      <w:r>
        <w:t>Daha fazla etkinlik yapılması, öğrencilerden daha fazla soru alınması, kulüpler için broşür/tanıtım yapılması, spor etkinlikleri düzenlenmesi, daha fazla kulüp bilgisi verilmesi, bireysel/masa başı bilgilendirme ve kampüs gezisi yapılması önerilmiştir.</w:t>
      </w:r>
    </w:p>
    <w:p>
      <w:pPr>
        <w:pStyle w:val="Heading1"/>
      </w:pPr>
      <w:r>
        <w:t>8. Bölüm Bazlı Değerlendirme ve Önerilen Odaklar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b/>
                <w:sz w:val="17"/>
              </w:rPr>
              <w:t>Bölüm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b/>
                <w:sz w:val="17"/>
              </w:rPr>
              <w:t>Katılımcı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b/>
                <w:sz w:val="17"/>
              </w:rPr>
              <w:t>Bölüm bazlı değerlendirme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b/>
                <w:sz w:val="17"/>
              </w:rPr>
              <w:t>Önerilen odak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İktisat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14 (%35)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En yüksek katılımcı sayısına sahip bölüm (%35).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Sınav sistemi, bölüm işleyişi, kariyer ve staj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İşletme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11 (%28)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Katılımın ikinci büyük grubudur (%28).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Kariyer, staj, öğrenci kulüpleri ve sosyal faaliyetler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Siyaset Bilimi ve Kamu Yönetimi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7 (%18)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Katılımcıların %18’ini oluşturmaktadır.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Kalite güvencesi, bölüm işleyişi, Erasmus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Sosyal Hizmet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6 (%15)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Katılımcıların %15’ini oluşturmaktadır.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Psikolojik destek, sosyal hizmet uygulamaları, staj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Sağlık Yönetimi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2 (%5)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2 katılımcı ile %5 paya sahiptir; küçük örneklem nedeniyle genelleme yapılmamalıdır.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Kariyer, staj ve bölüm/meslek olanakları</w:t>
            </w:r>
          </w:p>
        </w:tc>
      </w:tr>
    </w:tbl>
    <w:p>
      <w:pPr>
        <w:pStyle w:val="Heading1"/>
      </w:pPr>
      <w:r>
        <w:t>9. Sonuç ve Genel Değerlendirme</w:t>
      </w:r>
    </w:p>
    <w:p>
      <w:r>
        <w:rPr>
          <w:b/>
        </w:rPr>
        <w:t xml:space="preserve">29 Eylül 2026 tarihinde gerçekleştirilen İİBF 2026 Oryantasyon Programı, öğrenci değerlendirmelerine göre genel olarak başarılı bir etkinliktir. </w:t>
      </w:r>
      <w:r>
        <w:t>Toplam memnuniyet oranının %77,91 olması; öğrencilerin özellikle üniversiteye hazırlık, eğitim-öğretim süreçleri ve uyum konularında programdan fayda sağladığını göstermektedir. Bununla birlikte kalite güvencesi, uluslararası hareketlilik, sosyal imkânlar, öğrenci kulüpleri, staj/laboratuvar kullanımı ve kampüsün uygulamalı tanıtımı geliştirilmesi gereken alanlardır.</w:t>
      </w:r>
    </w:p>
    <w:p>
      <w:r>
        <w:rPr>
          <w:b/>
        </w:rPr>
        <w:t xml:space="preserve">Bir sonraki oryantasyon programı için </w:t>
      </w:r>
      <w:r>
        <w:t>“bilgilendirme + uygulama + etkileşim” modelinin benimsenmesi önerilmektedir. Kısa sunumlara ek olarak kampüs turu, öğrenci kulüpleri tanıtım alanı, Erasmus/kalite/staj bilgi masaları, soru-cevap oturumu ve etkileşimli etkinlikler programa dâhil edilmelidir.</w:t>
      </w:r>
    </w:p>
    <w:p>
      <w:pPr>
        <w:pStyle w:val="Heading1"/>
      </w:pPr>
      <w:r>
        <w:t>10. 2027 Oryantasyon Programı İçin Eylem Planı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b/>
                <w:sz w:val="17"/>
              </w:rPr>
              <w:t>Öncelik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b/>
                <w:sz w:val="17"/>
              </w:rPr>
              <w:t>Eylem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b/>
                <w:sz w:val="17"/>
              </w:rPr>
              <w:t>Sorumlu birim/rol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b/>
                <w:sz w:val="17"/>
              </w:rPr>
              <w:t>Başarı göstergesi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1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Kalite güvencesi ve PUKÖ sürecini 10–15 dakikalık uygulamalı sunumla anlatmak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İİBF Kalite Birimi / Fakülte yönetimi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Kalite memnuniyetinin %67’den en az %80’e çıkarılması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2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Erasmus ve uluslararası hareketlilik için bilgi masası ve örnek başvuru süreci oluşturmak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Dış İlişkiler / Erasmus Koordinatörlüğü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Erasmus memnuniyetinin %73’ten en az %80’e çıkarılması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3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Öğrenci kulüpleri ve sosyal olanaklar için stant/broşür ve kısa tanıtımlar yapmak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SKS / Öğrenci kulüpleri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Sosyal imkânlara yönelik olumsuz geri bildirimlerin azaltılması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4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Kampüs ve fakülte birimlerini kapsayan kısa kampüs turu düzenlemek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Fakülte yönetimi / öğrenci rehberleri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Kampüs tanıtımı memnuniyetinin artırılması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5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Staj, laboratuvar ve kariyer olanakları için bölüm bazlı mini oturumlar yapmak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Bölüm başkanlıkları / kariyer birimi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Bölüm ve kariyer bilgilendirme memnuniyetinin artırılması</w:t>
            </w:r>
          </w:p>
        </w:tc>
      </w:tr>
      <w:tr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6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Program sonunda canlı soru-cevap ve bireysel bilgi masaları oluşturmak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Fakülte yönetimi / akademik-idari personel</w:t>
            </w:r>
          </w:p>
        </w:tc>
        <w:tc>
          <w:tcPr>
            <w:tcW w:type="dxa" w:w="2436"/>
            <w:vAlign w:val="center"/>
          </w:tcPr>
          <w:p>
            <w:r>
              <w:rPr>
                <w:rFonts w:ascii="Arial" w:hAnsi="Arial"/>
                <w:sz w:val="17"/>
              </w:rPr>
              <w:t>Öğrenci etkileşiminin artırılması</w:t>
            </w:r>
          </w:p>
        </w:tc>
      </w:tr>
    </w:tbl>
    <w:p>
      <w:r>
        <w:rPr>
          <w:b/>
        </w:rPr>
        <w:t xml:space="preserve">Veri kaynağı ve sınırlılık: </w:t>
      </w:r>
      <w:r>
        <w:t>Rapor, yüklenen “İİBF-2026-Oryantasyon.xlsx” dosyasındaki toplulaştırılmış anket çıktısına göre hazırlanmıştır. Dosyada 40 geçerli yanıt bulunmaktadır. Bölüm bazında katılımcı sayıları mevcuttur; ancak her bölümün 16 değerlendirme sorusuna verdiği yanıtların çapraz dağılımı bulunmadığından bölüm bazında soru memnuniyet oranları hesaplanmamıştır.</w:t>
      </w:r>
    </w:p>
    <w:sectPr w:rsidR="00FC693F" w:rsidRPr="0006063C" w:rsidSect="00034616">
      <w:pgSz w:w="12240" w:h="15840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